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466321">
        <w:rPr>
          <w:sz w:val="22"/>
          <w:lang w:val="de-DE"/>
        </w:rPr>
        <w:t>7</w:t>
      </w:r>
      <w:r w:rsidR="00EA0A7F">
        <w:rPr>
          <w:sz w:val="22"/>
          <w:lang w:val="de-DE"/>
        </w:rPr>
        <w:t>9</w:t>
      </w:r>
      <w:r w:rsidRPr="00114510">
        <w:rPr>
          <w:sz w:val="22"/>
          <w:lang w:val="de-DE"/>
        </w:rPr>
        <w:tab/>
        <w:t>R2-</w:t>
      </w:r>
      <w:r w:rsidR="003F616F">
        <w:rPr>
          <w:sz w:val="22"/>
          <w:lang w:val="de-DE"/>
        </w:rPr>
        <w:t>12</w:t>
      </w:r>
      <w:r w:rsidR="00B6340E">
        <w:rPr>
          <w:sz w:val="22"/>
          <w:lang w:val="de-DE"/>
        </w:rPr>
        <w:t>4092</w:t>
      </w:r>
    </w:p>
    <w:p w:rsidR="00A53E36" w:rsidRPr="00C21672" w:rsidRDefault="00EA0A7F">
      <w:pPr>
        <w:pStyle w:val="3GPPHeader"/>
        <w:spacing w:after="0"/>
        <w:rPr>
          <w:sz w:val="22"/>
          <w:lang w:val="en-US"/>
        </w:rPr>
      </w:pPr>
      <w:r>
        <w:rPr>
          <w:lang w:val="en-US"/>
        </w:rPr>
        <w:t>13—17 August 2012</w:t>
      </w:r>
      <w:r w:rsidR="003F616F">
        <w:rPr>
          <w:sz w:val="22"/>
          <w:lang w:val="en-US"/>
        </w:rPr>
        <w:t xml:space="preserve">, </w:t>
      </w:r>
      <w:proofErr w:type="spellStart"/>
      <w:proofErr w:type="gramStart"/>
      <w:r w:rsidR="00F86E14">
        <w:rPr>
          <w:sz w:val="22"/>
          <w:lang w:val="en-US"/>
        </w:rPr>
        <w:t>QingDao</w:t>
      </w:r>
      <w:proofErr w:type="spellEnd"/>
      <w:proofErr w:type="gramEnd"/>
      <w:r>
        <w:rPr>
          <w:sz w:val="22"/>
          <w:lang w:val="en-US"/>
        </w:rPr>
        <w:t>, China</w:t>
      </w:r>
      <w:r w:rsidR="00803B60">
        <w:rPr>
          <w:sz w:val="22"/>
          <w:lang w:val="en-US"/>
        </w:rPr>
        <w:t>.</w:t>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2704C3">
        <w:rPr>
          <w:sz w:val="22"/>
          <w:lang w:val="en-US"/>
        </w:rPr>
        <w:t>7.6.3</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BB1879" w:rsidRDefault="00A53E36">
      <w:pPr>
        <w:pStyle w:val="3GPPHeader"/>
        <w:rPr>
          <w:sz w:val="22"/>
          <w:szCs w:val="22"/>
        </w:rPr>
      </w:pPr>
      <w:r>
        <w:rPr>
          <w:sz w:val="22"/>
        </w:rPr>
        <w:t xml:space="preserve">Title:  </w:t>
      </w:r>
      <w:r>
        <w:rPr>
          <w:sz w:val="22"/>
        </w:rPr>
        <w:tab/>
      </w:r>
      <w:r w:rsidR="002704C3">
        <w:rPr>
          <w:sz w:val="22"/>
        </w:rPr>
        <w:t>Denial rate for Autonomous Denials</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861D02" w:rsidRDefault="009A0FD0" w:rsidP="00861D02">
      <w:r>
        <w:t xml:space="preserve">An email discussion </w:t>
      </w:r>
      <w:r w:rsidR="009018B4">
        <w:fldChar w:fldCharType="begin"/>
      </w:r>
      <w:r w:rsidR="00DD6BFA">
        <w:instrText xml:space="preserve"> REF _Ref332023350 \r \h </w:instrText>
      </w:r>
      <w:r w:rsidR="009018B4">
        <w:fldChar w:fldCharType="separate"/>
      </w:r>
      <w:r w:rsidR="00DD6BFA">
        <w:t>[1]</w:t>
      </w:r>
      <w:r w:rsidR="009018B4">
        <w:fldChar w:fldCharType="end"/>
      </w:r>
      <w:r w:rsidR="00DD6BFA">
        <w:t xml:space="preserve"> </w:t>
      </w:r>
      <w:r>
        <w:t xml:space="preserve">was conducted prior to RAN2#79 to discuss further and agree on details of autonomous denials. There seems to be general agreement that a “long term denial rate” </w:t>
      </w:r>
      <w:r w:rsidR="007D0CAB">
        <w:t>should</w:t>
      </w:r>
      <w:r>
        <w:t xml:space="preserve"> be specified and the UE should be required to limit the number of autonomous denials based on the long term denial rate.</w:t>
      </w:r>
    </w:p>
    <w:p w:rsidR="009A0FD0" w:rsidRPr="00CD5023" w:rsidRDefault="009A0FD0" w:rsidP="00861D02">
      <w:r>
        <w:t>In this contribution we look at how such a long term denial rate can be specified and the related UE behaviour.</w:t>
      </w:r>
    </w:p>
    <w:p w:rsidR="00A53E36" w:rsidRPr="00CD5023" w:rsidRDefault="00A53E36">
      <w:pPr>
        <w:pStyle w:val="Heading1"/>
      </w:pPr>
      <w:r w:rsidRPr="00CD5023">
        <w:t>Discussion</w:t>
      </w:r>
    </w:p>
    <w:p w:rsidR="00807119" w:rsidRDefault="00807119" w:rsidP="006D0B49">
      <w:pPr>
        <w:rPr>
          <w:lang w:val="en-US"/>
        </w:rPr>
      </w:pPr>
      <w:r>
        <w:rPr>
          <w:lang w:val="en-US"/>
        </w:rPr>
        <w:t xml:space="preserve">A need is seen to </w:t>
      </w:r>
      <w:r w:rsidRPr="00A27F38">
        <w:rPr>
          <w:lang w:val="en-US"/>
        </w:rPr>
        <w:t>place limits on the duration and frequency of autonomous denials</w:t>
      </w:r>
      <w:r>
        <w:rPr>
          <w:lang w:val="en-US"/>
        </w:rPr>
        <w:t>. In the email discussion</w:t>
      </w:r>
      <w:r w:rsidR="00971D6A">
        <w:rPr>
          <w:lang w:val="en-US"/>
        </w:rPr>
        <w:t xml:space="preserve"> </w:t>
      </w:r>
      <w:r w:rsidR="009018B4">
        <w:rPr>
          <w:lang w:val="en-US"/>
        </w:rPr>
        <w:fldChar w:fldCharType="begin"/>
      </w:r>
      <w:r w:rsidR="00971D6A">
        <w:rPr>
          <w:lang w:val="en-US"/>
        </w:rPr>
        <w:instrText xml:space="preserve"> REF _Ref332023350 \r \h </w:instrText>
      </w:r>
      <w:r w:rsidR="009018B4">
        <w:rPr>
          <w:lang w:val="en-US"/>
        </w:rPr>
      </w:r>
      <w:r w:rsidR="009018B4">
        <w:rPr>
          <w:lang w:val="en-US"/>
        </w:rPr>
        <w:fldChar w:fldCharType="separate"/>
      </w:r>
      <w:r w:rsidR="00971D6A">
        <w:rPr>
          <w:lang w:val="en-US"/>
        </w:rPr>
        <w:t>[1]</w:t>
      </w:r>
      <w:r w:rsidR="009018B4">
        <w:rPr>
          <w:lang w:val="en-US"/>
        </w:rPr>
        <w:fldChar w:fldCharType="end"/>
      </w:r>
      <w:r>
        <w:rPr>
          <w:lang w:val="en-US"/>
        </w:rPr>
        <w:t xml:space="preserve">, companies expressed the view that the denial rate can be expressed as the maximum number of autonomous denials allowed during a period of time (for example, no more than </w:t>
      </w:r>
      <w:r w:rsidR="00E568A1">
        <w:rPr>
          <w:lang w:val="en-US"/>
        </w:rPr>
        <w:t>5</w:t>
      </w:r>
      <w:r>
        <w:rPr>
          <w:lang w:val="en-US"/>
        </w:rPr>
        <w:t xml:space="preserve"> autonomous denials per 1 second). The </w:t>
      </w:r>
      <w:proofErr w:type="spellStart"/>
      <w:r>
        <w:rPr>
          <w:lang w:val="en-US"/>
        </w:rPr>
        <w:t>eNB</w:t>
      </w:r>
      <w:proofErr w:type="spellEnd"/>
      <w:r>
        <w:rPr>
          <w:lang w:val="en-US"/>
        </w:rPr>
        <w:t xml:space="preserve"> would then take the maximum allowed autonomous denials in link adaptation decisions. For example, the </w:t>
      </w:r>
      <w:proofErr w:type="spellStart"/>
      <w:r>
        <w:rPr>
          <w:lang w:val="en-US"/>
        </w:rPr>
        <w:t>eNB</w:t>
      </w:r>
      <w:proofErr w:type="spellEnd"/>
      <w:r>
        <w:rPr>
          <w:lang w:val="en-US"/>
        </w:rPr>
        <w:t xml:space="preserve"> may choose to not make any link adaptation adjustments if the denial rate is lower than the allowed denial rate. </w:t>
      </w:r>
    </w:p>
    <w:p w:rsidR="000E7CBF" w:rsidRDefault="000E7CBF" w:rsidP="000E7CBF">
      <w:pPr>
        <w:pStyle w:val="Heading2"/>
        <w:rPr>
          <w:lang w:val="en-US"/>
        </w:rPr>
      </w:pPr>
      <w:r>
        <w:rPr>
          <w:lang w:val="en-US"/>
        </w:rPr>
        <w:t>Time window for counting autonomous denials</w:t>
      </w:r>
    </w:p>
    <w:p w:rsidR="00807119" w:rsidRDefault="00807119" w:rsidP="006D0B49">
      <w:pPr>
        <w:rPr>
          <w:lang w:val="en-US"/>
        </w:rPr>
      </w:pPr>
      <w:r>
        <w:rPr>
          <w:lang w:val="en-US"/>
        </w:rPr>
        <w:t>In order for th</w:t>
      </w:r>
      <w:r w:rsidR="00971D6A">
        <w:rPr>
          <w:lang w:val="en-US"/>
        </w:rPr>
        <w:t>e</w:t>
      </w:r>
      <w:r>
        <w:rPr>
          <w:lang w:val="en-US"/>
        </w:rPr>
        <w:t xml:space="preserve"> denial rate limit to be correctly implemented, it is necessary to clearly specify the circumstances under which the UE can autonomously deny a transmission or reception event. The principle is to allow no more than </w:t>
      </w:r>
      <w:r>
        <w:rPr>
          <w:i/>
          <w:lang w:val="en-US"/>
        </w:rPr>
        <w:t>n</w:t>
      </w:r>
      <w:r>
        <w:rPr>
          <w:lang w:val="en-US"/>
        </w:rPr>
        <w:t xml:space="preserve"> autonomous denials in a period </w:t>
      </w:r>
      <w:r>
        <w:rPr>
          <w:i/>
          <w:lang w:val="en-US"/>
        </w:rPr>
        <w:t>T.</w:t>
      </w:r>
      <w:r>
        <w:rPr>
          <w:lang w:val="en-US"/>
        </w:rPr>
        <w:t xml:space="preserve"> However the start and end of the period </w:t>
      </w:r>
      <w:r w:rsidRPr="00807119">
        <w:rPr>
          <w:i/>
          <w:lang w:val="en-US"/>
        </w:rPr>
        <w:t>T</w:t>
      </w:r>
      <w:r>
        <w:rPr>
          <w:lang w:val="en-US"/>
        </w:rPr>
        <w:t xml:space="preserve"> need to be better defined.</w:t>
      </w:r>
    </w:p>
    <w:p w:rsidR="00807119" w:rsidRDefault="00807119" w:rsidP="006D0B49">
      <w:pPr>
        <w:rPr>
          <w:lang w:val="en-US"/>
        </w:rPr>
      </w:pPr>
      <w:r>
        <w:rPr>
          <w:i/>
          <w:lang w:val="en-US"/>
        </w:rPr>
        <w:t>T</w:t>
      </w:r>
      <w:r>
        <w:rPr>
          <w:lang w:val="en-US"/>
        </w:rPr>
        <w:t xml:space="preserve"> could be a fixed window. That is</w:t>
      </w:r>
      <w:r w:rsidR="002F5CF0">
        <w:rPr>
          <w:lang w:val="en-US"/>
        </w:rPr>
        <w:t>,</w:t>
      </w:r>
      <w:r>
        <w:rPr>
          <w:lang w:val="en-US"/>
        </w:rPr>
        <w:t xml:space="preserve"> the UE gets up to </w:t>
      </w:r>
      <w:r>
        <w:rPr>
          <w:i/>
          <w:lang w:val="en-US"/>
        </w:rPr>
        <w:t>n</w:t>
      </w:r>
      <w:r>
        <w:rPr>
          <w:lang w:val="en-US"/>
        </w:rPr>
        <w:t xml:space="preserve"> denials in a period of </w:t>
      </w:r>
      <w:r w:rsidRPr="00757854">
        <w:rPr>
          <w:i/>
          <w:lang w:val="en-US"/>
        </w:rPr>
        <w:t>T</w:t>
      </w:r>
      <w:r>
        <w:rPr>
          <w:lang w:val="en-US"/>
        </w:rPr>
        <w:t xml:space="preserve"> ms</w:t>
      </w:r>
      <w:r w:rsidR="00D07C8C">
        <w:rPr>
          <w:lang w:val="en-US"/>
        </w:rPr>
        <w:t>,</w:t>
      </w:r>
      <w:r>
        <w:rPr>
          <w:lang w:val="en-US"/>
        </w:rPr>
        <w:t xml:space="preserve"> </w:t>
      </w:r>
      <w:proofErr w:type="gramStart"/>
      <w:r>
        <w:rPr>
          <w:lang w:val="en-US"/>
        </w:rPr>
        <w:t xml:space="preserve">another </w:t>
      </w:r>
      <w:r>
        <w:rPr>
          <w:i/>
          <w:lang w:val="en-US"/>
        </w:rPr>
        <w:t xml:space="preserve">n </w:t>
      </w:r>
      <w:r>
        <w:rPr>
          <w:lang w:val="en-US"/>
        </w:rPr>
        <w:t>denials</w:t>
      </w:r>
      <w:proofErr w:type="gramEnd"/>
      <w:r>
        <w:rPr>
          <w:lang w:val="en-US"/>
        </w:rPr>
        <w:t xml:space="preserve"> in the following </w:t>
      </w:r>
      <w:r w:rsidRPr="00CA102C">
        <w:rPr>
          <w:i/>
          <w:lang w:val="en-US"/>
        </w:rPr>
        <w:t>T</w:t>
      </w:r>
      <w:r>
        <w:rPr>
          <w:lang w:val="en-US"/>
        </w:rPr>
        <w:t xml:space="preserve"> ms, and so on.</w:t>
      </w:r>
      <w:r w:rsidR="007D19C5">
        <w:rPr>
          <w:lang w:val="en-US"/>
        </w:rPr>
        <w:t xml:space="preserve"> </w:t>
      </w:r>
      <w:r>
        <w:rPr>
          <w:lang w:val="en-US"/>
        </w:rPr>
        <w:t xml:space="preserve">Alternately, </w:t>
      </w:r>
      <w:r w:rsidRPr="00CC0536">
        <w:rPr>
          <w:i/>
          <w:lang w:val="en-US"/>
        </w:rPr>
        <w:t>T</w:t>
      </w:r>
      <w:r>
        <w:rPr>
          <w:lang w:val="en-US"/>
        </w:rPr>
        <w:t xml:space="preserve"> could be a sliding window. </w:t>
      </w:r>
      <w:r w:rsidR="002F5CF0">
        <w:rPr>
          <w:lang w:val="en-US"/>
        </w:rPr>
        <w:t xml:space="preserve">That is, the UE cannot exceed </w:t>
      </w:r>
      <w:r w:rsidR="002F5CF0">
        <w:rPr>
          <w:i/>
          <w:lang w:val="en-US"/>
        </w:rPr>
        <w:t>n</w:t>
      </w:r>
      <w:r w:rsidR="002F5CF0">
        <w:rPr>
          <w:lang w:val="en-US"/>
        </w:rPr>
        <w:t xml:space="preserve"> denials in any contiguous </w:t>
      </w:r>
      <w:r w:rsidR="002F5CF0">
        <w:rPr>
          <w:i/>
          <w:lang w:val="en-US"/>
        </w:rPr>
        <w:t>T</w:t>
      </w:r>
      <w:r w:rsidR="002F5CF0">
        <w:rPr>
          <w:lang w:val="en-US"/>
        </w:rPr>
        <w:t xml:space="preserve"> </w:t>
      </w:r>
      <w:proofErr w:type="spellStart"/>
      <w:proofErr w:type="gramStart"/>
      <w:r w:rsidR="002F5CF0">
        <w:rPr>
          <w:lang w:val="en-US"/>
        </w:rPr>
        <w:t>ms</w:t>
      </w:r>
      <w:proofErr w:type="gramEnd"/>
      <w:r w:rsidR="002F5CF0">
        <w:rPr>
          <w:lang w:val="en-US"/>
        </w:rPr>
        <w:t>.</w:t>
      </w:r>
      <w:proofErr w:type="spellEnd"/>
      <w:r w:rsidR="007D19C5">
        <w:rPr>
          <w:lang w:val="en-US"/>
        </w:rPr>
        <w:t xml:space="preserve"> Below we look at the two options in detail.</w:t>
      </w:r>
    </w:p>
    <w:p w:rsidR="007D19C5" w:rsidRPr="00BA1F1F" w:rsidRDefault="007D19C5" w:rsidP="007D19C5">
      <w:r>
        <w:t xml:space="preserve">With the fixed window approach (Figure 1), if there are more than </w:t>
      </w:r>
      <w:r>
        <w:rPr>
          <w:i/>
        </w:rPr>
        <w:t>n</w:t>
      </w:r>
      <w:r>
        <w:t xml:space="preserve"> </w:t>
      </w:r>
      <w:r w:rsidR="00BA1F1F">
        <w:t xml:space="preserve">events requiring autonomous denials, the UE would not be able to accommodate them. At the start of the next window, autonomous denials can be started. This approach requires the UE and the </w:t>
      </w:r>
      <w:proofErr w:type="spellStart"/>
      <w:r w:rsidR="00BA1F1F">
        <w:t>eNB</w:t>
      </w:r>
      <w:proofErr w:type="spellEnd"/>
      <w:r w:rsidR="00BA1F1F">
        <w:t xml:space="preserve"> to have a common understanding of the boundaries of each </w:t>
      </w:r>
      <w:r w:rsidR="00BA1F1F">
        <w:rPr>
          <w:i/>
        </w:rPr>
        <w:t>T</w:t>
      </w:r>
      <w:r w:rsidR="00BA1F1F">
        <w:t xml:space="preserve">. Without knowing this, the network cannot determine whether to make link adaptation adjustments. That is, if there are more than </w:t>
      </w:r>
      <w:r w:rsidR="00BA1F1F">
        <w:rPr>
          <w:i/>
        </w:rPr>
        <w:t>n</w:t>
      </w:r>
      <w:r w:rsidR="00BA1F1F">
        <w:t xml:space="preserve"> packet losses in </w:t>
      </w:r>
      <w:r w:rsidR="00BA1F1F">
        <w:rPr>
          <w:i/>
        </w:rPr>
        <w:t>T</w:t>
      </w:r>
      <w:r w:rsidR="00BA1F1F" w:rsidRPr="00BA1F1F">
        <w:t>,</w:t>
      </w:r>
      <w:r w:rsidR="00BA1F1F">
        <w:t xml:space="preserve"> the network presumably would need to make link adaptation adjustments (with the assumption that </w:t>
      </w:r>
      <w:r w:rsidR="00BA1F1F">
        <w:rPr>
          <w:i/>
        </w:rPr>
        <w:t>n</w:t>
      </w:r>
      <w:r w:rsidR="00BA1F1F">
        <w:t xml:space="preserve"> of the losses were due to autonomous denials and the rest were due to channel conditions). If the UE and the </w:t>
      </w:r>
      <w:proofErr w:type="spellStart"/>
      <w:r w:rsidR="00BA1F1F">
        <w:t>eNB</w:t>
      </w:r>
      <w:proofErr w:type="spellEnd"/>
      <w:r w:rsidR="00BA1F1F">
        <w:t xml:space="preserve"> have different boundaries for </w:t>
      </w:r>
      <w:r w:rsidR="00BA1F1F">
        <w:rPr>
          <w:i/>
        </w:rPr>
        <w:t>T</w:t>
      </w:r>
      <w:r w:rsidR="00BA1F1F">
        <w:t xml:space="preserve">, the </w:t>
      </w:r>
      <w:proofErr w:type="spellStart"/>
      <w:r w:rsidR="00BA1F1F">
        <w:t>eNB</w:t>
      </w:r>
      <w:proofErr w:type="spellEnd"/>
      <w:r w:rsidR="00BA1F1F">
        <w:t xml:space="preserve"> may make link adaptation adjustments when it should not</w:t>
      </w:r>
      <w:r w:rsidR="00922D9D">
        <w:t>,</w:t>
      </w:r>
      <w:r w:rsidR="00BA1F1F">
        <w:t xml:space="preserve"> and vice versa.</w:t>
      </w:r>
    </w:p>
    <w:p w:rsidR="007D19C5" w:rsidRDefault="00053E64" w:rsidP="007D19C5">
      <w:pPr>
        <w:keepNext/>
        <w:jc w:val="center"/>
      </w:pPr>
      <w:r>
        <w:object w:dxaOrig="12186" w:dyaOrig="3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5pt;height:134.2pt" o:ole="">
            <v:imagedata r:id="rId8" o:title=""/>
          </v:shape>
          <o:OLEObject Type="Embed" ProgID="Visio.Drawing.11" ShapeID="_x0000_i1025" DrawAspect="Content" ObjectID="_1405791371" r:id="rId9"/>
        </w:object>
      </w:r>
    </w:p>
    <w:p w:rsidR="00053E64" w:rsidRDefault="007D19C5" w:rsidP="007D19C5">
      <w:pPr>
        <w:pStyle w:val="Caption"/>
        <w:rPr>
          <w:noProof/>
        </w:rPr>
      </w:pPr>
      <w:r>
        <w:t xml:space="preserve">Figure </w:t>
      </w:r>
      <w:fldSimple w:instr=" SEQ Figure \* ARABIC ">
        <w:r>
          <w:rPr>
            <w:noProof/>
          </w:rPr>
          <w:t>1</w:t>
        </w:r>
      </w:fldSimple>
      <w:r>
        <w:rPr>
          <w:noProof/>
        </w:rPr>
        <w:t xml:space="preserve"> : Fixed window based denial rate</w:t>
      </w:r>
    </w:p>
    <w:p w:rsidR="008969F8" w:rsidRPr="008969F8" w:rsidRDefault="008969F8" w:rsidP="008969F8">
      <w:r>
        <w:t xml:space="preserve">With the sliding window approach, the UE is not allowed to perform autonomous denial if the number of autonomous denials in the window consisting of the last </w:t>
      </w:r>
      <w:r>
        <w:rPr>
          <w:i/>
        </w:rPr>
        <w:t>T</w:t>
      </w:r>
      <w:r>
        <w:t xml:space="preserve"> ms is </w:t>
      </w:r>
      <w:r>
        <w:rPr>
          <w:i/>
        </w:rPr>
        <w:t>n</w:t>
      </w:r>
      <w:r>
        <w:t>.</w:t>
      </w:r>
      <w:r w:rsidR="00FD5389">
        <w:t xml:space="preserve"> The sliding window approach also does not require </w:t>
      </w:r>
      <w:r w:rsidR="00FD5389">
        <w:rPr>
          <w:i/>
        </w:rPr>
        <w:t xml:space="preserve">T </w:t>
      </w:r>
      <w:r w:rsidR="00FD5389">
        <w:t>to be aligned</w:t>
      </w:r>
      <w:r w:rsidR="005B0413">
        <w:t xml:space="preserve"> between the UE and the eNB.</w:t>
      </w:r>
    </w:p>
    <w:p w:rsidR="007D19C5" w:rsidRDefault="00FD5389" w:rsidP="007D19C5">
      <w:pPr>
        <w:keepNext/>
        <w:jc w:val="center"/>
      </w:pPr>
      <w:r>
        <w:object w:dxaOrig="12186" w:dyaOrig="5397">
          <v:shape id="_x0000_i1026" type="#_x0000_t75" style="width:426.25pt;height:188.35pt" o:ole="">
            <v:imagedata r:id="rId10" o:title=""/>
          </v:shape>
          <o:OLEObject Type="Embed" ProgID="Visio.Drawing.11" ShapeID="_x0000_i1026" DrawAspect="Content" ObjectID="_1405791372" r:id="rId11"/>
        </w:object>
      </w:r>
    </w:p>
    <w:p w:rsidR="00053E64" w:rsidRPr="002F5CF0" w:rsidRDefault="007D19C5" w:rsidP="007D19C5">
      <w:pPr>
        <w:pStyle w:val="Caption"/>
        <w:rPr>
          <w:lang w:val="en-US"/>
        </w:rPr>
      </w:pPr>
      <w:r>
        <w:t xml:space="preserve">Figure </w:t>
      </w:r>
      <w:fldSimple w:instr=" SEQ Figure \* ARABIC ">
        <w:r>
          <w:rPr>
            <w:noProof/>
          </w:rPr>
          <w:t>2</w:t>
        </w:r>
      </w:fldSimple>
      <w:r>
        <w:t>: Sliding window based denial rate</w:t>
      </w:r>
    </w:p>
    <w:p w:rsidR="00136026" w:rsidRDefault="00136026" w:rsidP="006D0B49">
      <w:pPr>
        <w:rPr>
          <w:lang w:val="en-US"/>
        </w:rPr>
      </w:pPr>
      <w:r>
        <w:rPr>
          <w:lang w:val="en-US"/>
        </w:rPr>
        <w:t>Based on the above considerations, we think the sliding window approach is simpler and should be adopted.</w:t>
      </w:r>
    </w:p>
    <w:p w:rsidR="00136026" w:rsidRPr="00FA593D" w:rsidRDefault="00136026" w:rsidP="006D0B49">
      <w:pPr>
        <w:rPr>
          <w:b/>
          <w:i/>
          <w:lang w:val="en-US"/>
        </w:rPr>
      </w:pPr>
      <w:r w:rsidRPr="00FA593D">
        <w:rPr>
          <w:b/>
          <w:i/>
          <w:lang w:val="en-US"/>
        </w:rPr>
        <w:t>Proposal 1: The long term denial rate shall be specified such that the UE is allowed no more than ‘n’ autonomous denials in any contiguous duration of</w:t>
      </w:r>
      <w:r w:rsidRPr="00FA593D">
        <w:rPr>
          <w:b/>
          <w:lang w:val="en-US"/>
        </w:rPr>
        <w:t xml:space="preserve"> </w:t>
      </w:r>
      <w:r w:rsidRPr="00FA593D">
        <w:rPr>
          <w:b/>
          <w:i/>
          <w:lang w:val="en-US"/>
        </w:rPr>
        <w:t>‘T’ ms.</w:t>
      </w:r>
    </w:p>
    <w:p w:rsidR="00DD06CB" w:rsidRDefault="00DD06CB" w:rsidP="00DD06CB">
      <w:pPr>
        <w:pStyle w:val="Heading2"/>
        <w:rPr>
          <w:lang w:val="en-US"/>
        </w:rPr>
      </w:pPr>
      <w:r>
        <w:rPr>
          <w:lang w:val="en-US"/>
        </w:rPr>
        <w:t>Applicability of Denial rate to uplink and downlink transmissions</w:t>
      </w:r>
    </w:p>
    <w:p w:rsidR="00B75D23" w:rsidRDefault="00A52E79" w:rsidP="002522AB">
      <w:pPr>
        <w:rPr>
          <w:lang w:val="en-US"/>
        </w:rPr>
      </w:pPr>
      <w:r w:rsidRPr="00A27F38">
        <w:rPr>
          <w:lang w:val="en-US"/>
        </w:rPr>
        <w:t>Autonomous denials can occur in either the uplink or the downlink. A downlink autonomous denial implies that the UE misses a DL transmission from the eNB (PDCCH, PDSCH, uplink HARQ feedback). An uplink autonomous denial implies that the UE fails to perform an uplink transmission (PUSCH, PUCCH, downlink HARQ feedback).</w:t>
      </w:r>
      <w:r>
        <w:rPr>
          <w:lang w:val="en-US"/>
        </w:rPr>
        <w:t xml:space="preserve"> </w:t>
      </w:r>
    </w:p>
    <w:p w:rsidR="00122E46" w:rsidRDefault="00B75D23" w:rsidP="002522AB">
      <w:pPr>
        <w:rPr>
          <w:lang w:val="en-US"/>
        </w:rPr>
      </w:pPr>
      <w:r>
        <w:rPr>
          <w:lang w:val="en-US"/>
        </w:rPr>
        <w:t>If the number of failures exceeds (by some margin) what is allowed by the autonomous denial rate, the eNB would then make link adaptation adjustments (with the assumption that the additional failures are not due to autonomous denials). If the eNB does not receive a transmission it could be because it did not receive the UL transmitted by the UE or because the UE did not receive the PDCCH. The table below shows the impact of downlink and uplink autonomous denials.</w:t>
      </w:r>
    </w:p>
    <w:p w:rsidR="00B75D23" w:rsidRDefault="00B75D23" w:rsidP="002522AB">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1800"/>
        <w:gridCol w:w="5400"/>
      </w:tblGrid>
      <w:tr w:rsidR="002F2AEF" w:rsidRPr="002F2AEF" w:rsidTr="002F2AEF">
        <w:tc>
          <w:tcPr>
            <w:tcW w:w="2340" w:type="dxa"/>
            <w:vAlign w:val="center"/>
          </w:tcPr>
          <w:p w:rsidR="00F95A0B" w:rsidRPr="002F2AEF" w:rsidRDefault="00F95A0B" w:rsidP="00B75D23">
            <w:pPr>
              <w:rPr>
                <w:b/>
                <w:i/>
                <w:lang w:val="en-US"/>
              </w:rPr>
            </w:pPr>
            <w:r w:rsidRPr="002F2AEF">
              <w:rPr>
                <w:b/>
                <w:i/>
                <w:lang w:val="en-US"/>
              </w:rPr>
              <w:lastRenderedPageBreak/>
              <w:t>Type of Autonomous Denial</w:t>
            </w:r>
          </w:p>
        </w:tc>
        <w:tc>
          <w:tcPr>
            <w:tcW w:w="1800" w:type="dxa"/>
            <w:vAlign w:val="center"/>
          </w:tcPr>
          <w:p w:rsidR="00F95A0B" w:rsidRPr="002F2AEF" w:rsidRDefault="00F95A0B" w:rsidP="00B75D23">
            <w:pPr>
              <w:rPr>
                <w:b/>
                <w:i/>
                <w:lang w:val="en-US"/>
              </w:rPr>
            </w:pPr>
            <w:r w:rsidRPr="002F2AEF">
              <w:rPr>
                <w:b/>
                <w:i/>
                <w:lang w:val="en-US"/>
              </w:rPr>
              <w:t>Impacted Transmission</w:t>
            </w:r>
          </w:p>
        </w:tc>
        <w:tc>
          <w:tcPr>
            <w:tcW w:w="5400" w:type="dxa"/>
            <w:vAlign w:val="center"/>
          </w:tcPr>
          <w:p w:rsidR="00F95A0B" w:rsidRPr="002F2AEF" w:rsidRDefault="00F95A0B" w:rsidP="00B75D23">
            <w:pPr>
              <w:rPr>
                <w:b/>
                <w:i/>
                <w:lang w:val="en-US"/>
              </w:rPr>
            </w:pPr>
            <w:r w:rsidRPr="002F2AEF">
              <w:rPr>
                <w:b/>
                <w:i/>
                <w:lang w:val="en-US"/>
              </w:rPr>
              <w:t>Result</w:t>
            </w:r>
          </w:p>
        </w:tc>
      </w:tr>
      <w:tr w:rsidR="002F2AEF" w:rsidRPr="002F2AEF" w:rsidTr="002F2AEF">
        <w:trPr>
          <w:trHeight w:val="162"/>
        </w:trPr>
        <w:tc>
          <w:tcPr>
            <w:tcW w:w="2340" w:type="dxa"/>
            <w:vMerge w:val="restart"/>
            <w:vAlign w:val="center"/>
          </w:tcPr>
          <w:p w:rsidR="00F95A0B" w:rsidRPr="002F2AEF" w:rsidRDefault="00F95A0B" w:rsidP="00B75D23">
            <w:pPr>
              <w:rPr>
                <w:lang w:val="en-US"/>
              </w:rPr>
            </w:pPr>
            <w:r w:rsidRPr="002F2AEF">
              <w:rPr>
                <w:lang w:val="en-US"/>
              </w:rPr>
              <w:t>UL Autonomous Denial</w:t>
            </w:r>
          </w:p>
        </w:tc>
        <w:tc>
          <w:tcPr>
            <w:tcW w:w="1800" w:type="dxa"/>
            <w:vAlign w:val="center"/>
          </w:tcPr>
          <w:p w:rsidR="00F95A0B" w:rsidRPr="002F2AEF" w:rsidRDefault="00F95A0B" w:rsidP="00B75D23">
            <w:pPr>
              <w:rPr>
                <w:lang w:val="en-US"/>
              </w:rPr>
            </w:pPr>
            <w:r w:rsidRPr="002F2AEF">
              <w:rPr>
                <w:lang w:val="en-US"/>
              </w:rPr>
              <w:t>PUCCH (ack/Nack)</w:t>
            </w:r>
          </w:p>
        </w:tc>
        <w:tc>
          <w:tcPr>
            <w:tcW w:w="5400" w:type="dxa"/>
            <w:vAlign w:val="center"/>
          </w:tcPr>
          <w:p w:rsidR="00F95A0B" w:rsidRPr="002F2AEF" w:rsidRDefault="00F95A0B" w:rsidP="00B75D23">
            <w:pPr>
              <w:rPr>
                <w:lang w:val="en-US"/>
              </w:rPr>
            </w:pPr>
            <w:r w:rsidRPr="002F2AEF">
              <w:rPr>
                <w:lang w:val="en-US"/>
              </w:rPr>
              <w:t>DL retransmission</w:t>
            </w:r>
          </w:p>
        </w:tc>
      </w:tr>
      <w:tr w:rsidR="002F2AEF" w:rsidRPr="002F2AEF" w:rsidTr="002F2AEF">
        <w:trPr>
          <w:trHeight w:val="161"/>
        </w:trPr>
        <w:tc>
          <w:tcPr>
            <w:tcW w:w="2340" w:type="dxa"/>
            <w:vMerge/>
            <w:vAlign w:val="center"/>
          </w:tcPr>
          <w:p w:rsidR="00F95A0B" w:rsidRPr="002F2AEF" w:rsidRDefault="00F95A0B" w:rsidP="00B75D23">
            <w:pPr>
              <w:rPr>
                <w:lang w:val="en-US"/>
              </w:rPr>
            </w:pPr>
          </w:p>
        </w:tc>
        <w:tc>
          <w:tcPr>
            <w:tcW w:w="1800" w:type="dxa"/>
            <w:vAlign w:val="center"/>
          </w:tcPr>
          <w:p w:rsidR="00F95A0B" w:rsidRPr="002F2AEF" w:rsidRDefault="00F95A0B" w:rsidP="00B75D23">
            <w:pPr>
              <w:rPr>
                <w:lang w:val="en-US"/>
              </w:rPr>
            </w:pPr>
            <w:r w:rsidRPr="002F2AEF">
              <w:rPr>
                <w:lang w:val="en-US"/>
              </w:rPr>
              <w:t>PUSCH</w:t>
            </w:r>
          </w:p>
        </w:tc>
        <w:tc>
          <w:tcPr>
            <w:tcW w:w="5400" w:type="dxa"/>
            <w:vAlign w:val="center"/>
          </w:tcPr>
          <w:p w:rsidR="00F95A0B" w:rsidRPr="002F2AEF" w:rsidRDefault="00F95A0B" w:rsidP="00B75D23">
            <w:pPr>
              <w:rPr>
                <w:lang w:val="en-US"/>
              </w:rPr>
            </w:pPr>
            <w:r w:rsidRPr="002F2AEF">
              <w:rPr>
                <w:lang w:val="en-US"/>
              </w:rPr>
              <w:t>UL retransmission</w:t>
            </w:r>
          </w:p>
        </w:tc>
      </w:tr>
      <w:tr w:rsidR="002F2AEF" w:rsidRPr="002F2AEF" w:rsidTr="002F2AEF">
        <w:trPr>
          <w:trHeight w:val="109"/>
        </w:trPr>
        <w:tc>
          <w:tcPr>
            <w:tcW w:w="2340" w:type="dxa"/>
            <w:vMerge w:val="restart"/>
            <w:vAlign w:val="center"/>
          </w:tcPr>
          <w:p w:rsidR="00F95A0B" w:rsidRPr="002F2AEF" w:rsidRDefault="00F95A0B" w:rsidP="00B75D23">
            <w:pPr>
              <w:rPr>
                <w:lang w:val="en-US"/>
              </w:rPr>
            </w:pPr>
            <w:r w:rsidRPr="002F2AEF">
              <w:rPr>
                <w:lang w:val="en-US"/>
              </w:rPr>
              <w:t>DL Autonomous Denial</w:t>
            </w:r>
          </w:p>
        </w:tc>
        <w:tc>
          <w:tcPr>
            <w:tcW w:w="1800" w:type="dxa"/>
            <w:vAlign w:val="center"/>
          </w:tcPr>
          <w:p w:rsidR="00F95A0B" w:rsidRPr="002F2AEF" w:rsidRDefault="00F95A0B" w:rsidP="00B75D23">
            <w:pPr>
              <w:rPr>
                <w:lang w:val="en-US"/>
              </w:rPr>
            </w:pPr>
            <w:r w:rsidRPr="002F2AEF">
              <w:rPr>
                <w:lang w:val="en-US"/>
              </w:rPr>
              <w:t>PDCCH</w:t>
            </w:r>
          </w:p>
        </w:tc>
        <w:tc>
          <w:tcPr>
            <w:tcW w:w="5400" w:type="dxa"/>
            <w:vAlign w:val="center"/>
          </w:tcPr>
          <w:p w:rsidR="00F95A0B" w:rsidRPr="002F2AEF" w:rsidRDefault="00F95A0B" w:rsidP="00B75D23">
            <w:pPr>
              <w:rPr>
                <w:lang w:val="en-US"/>
              </w:rPr>
            </w:pPr>
            <w:r w:rsidRPr="002F2AEF">
              <w:rPr>
                <w:lang w:val="en-US"/>
              </w:rPr>
              <w:t>Either DL retransmission (if PDCCH was for DL assignment) or UL retransmission (if PDCCH was for UL grant)</w:t>
            </w:r>
          </w:p>
        </w:tc>
      </w:tr>
      <w:tr w:rsidR="002F2AEF" w:rsidRPr="002F2AEF" w:rsidTr="002F2AEF">
        <w:trPr>
          <w:trHeight w:val="107"/>
        </w:trPr>
        <w:tc>
          <w:tcPr>
            <w:tcW w:w="2340" w:type="dxa"/>
            <w:vMerge/>
            <w:vAlign w:val="center"/>
          </w:tcPr>
          <w:p w:rsidR="00F95A0B" w:rsidRPr="002F2AEF" w:rsidRDefault="00F95A0B" w:rsidP="00B75D23">
            <w:pPr>
              <w:rPr>
                <w:lang w:val="en-US"/>
              </w:rPr>
            </w:pPr>
          </w:p>
        </w:tc>
        <w:tc>
          <w:tcPr>
            <w:tcW w:w="1800" w:type="dxa"/>
            <w:vAlign w:val="center"/>
          </w:tcPr>
          <w:p w:rsidR="00F95A0B" w:rsidRPr="002F2AEF" w:rsidRDefault="00F95A0B" w:rsidP="00B75D23">
            <w:pPr>
              <w:rPr>
                <w:lang w:val="en-US"/>
              </w:rPr>
            </w:pPr>
            <w:r w:rsidRPr="002F2AEF">
              <w:rPr>
                <w:lang w:val="en-US"/>
              </w:rPr>
              <w:t>PHICH (ack/Nack)</w:t>
            </w:r>
          </w:p>
        </w:tc>
        <w:tc>
          <w:tcPr>
            <w:tcW w:w="5400" w:type="dxa"/>
            <w:vAlign w:val="center"/>
          </w:tcPr>
          <w:p w:rsidR="00F95A0B" w:rsidRPr="002F2AEF" w:rsidRDefault="00F95A0B" w:rsidP="00B75D23">
            <w:pPr>
              <w:rPr>
                <w:lang w:val="en-US"/>
              </w:rPr>
            </w:pPr>
            <w:r w:rsidRPr="002F2AEF">
              <w:rPr>
                <w:lang w:val="en-US"/>
              </w:rPr>
              <w:t>UL retransmission</w:t>
            </w:r>
          </w:p>
        </w:tc>
      </w:tr>
      <w:tr w:rsidR="002F2AEF" w:rsidRPr="002F2AEF" w:rsidTr="002F2AEF">
        <w:trPr>
          <w:trHeight w:val="107"/>
        </w:trPr>
        <w:tc>
          <w:tcPr>
            <w:tcW w:w="2340" w:type="dxa"/>
            <w:vMerge/>
            <w:vAlign w:val="center"/>
          </w:tcPr>
          <w:p w:rsidR="00F95A0B" w:rsidRPr="002F2AEF" w:rsidRDefault="00F95A0B" w:rsidP="00B75D23">
            <w:pPr>
              <w:rPr>
                <w:lang w:val="en-US"/>
              </w:rPr>
            </w:pPr>
          </w:p>
        </w:tc>
        <w:tc>
          <w:tcPr>
            <w:tcW w:w="1800" w:type="dxa"/>
            <w:vAlign w:val="center"/>
          </w:tcPr>
          <w:p w:rsidR="00F95A0B" w:rsidRPr="002F2AEF" w:rsidRDefault="00F95A0B" w:rsidP="00B75D23">
            <w:pPr>
              <w:rPr>
                <w:lang w:val="en-US"/>
              </w:rPr>
            </w:pPr>
            <w:r w:rsidRPr="002F2AEF">
              <w:rPr>
                <w:lang w:val="en-US"/>
              </w:rPr>
              <w:t>PDSCH</w:t>
            </w:r>
          </w:p>
        </w:tc>
        <w:tc>
          <w:tcPr>
            <w:tcW w:w="5400" w:type="dxa"/>
            <w:vAlign w:val="center"/>
          </w:tcPr>
          <w:p w:rsidR="00F95A0B" w:rsidRPr="002F2AEF" w:rsidRDefault="00F95A0B" w:rsidP="00B75D23">
            <w:pPr>
              <w:rPr>
                <w:lang w:val="en-US"/>
              </w:rPr>
            </w:pPr>
            <w:r w:rsidRPr="002F2AEF">
              <w:rPr>
                <w:lang w:val="en-US"/>
              </w:rPr>
              <w:t>DL retransmission</w:t>
            </w:r>
          </w:p>
        </w:tc>
      </w:tr>
    </w:tbl>
    <w:p w:rsidR="00F95A0B" w:rsidRDefault="00F95A0B" w:rsidP="002522AB">
      <w:pPr>
        <w:rPr>
          <w:lang w:val="en-US"/>
        </w:rPr>
      </w:pPr>
    </w:p>
    <w:p w:rsidR="00101291" w:rsidRDefault="00101291" w:rsidP="002522AB">
      <w:pPr>
        <w:rPr>
          <w:lang w:val="en-US"/>
        </w:rPr>
      </w:pPr>
      <w:r>
        <w:rPr>
          <w:lang w:val="en-US"/>
        </w:rPr>
        <w:t>Based on the above table, it should be clear that placing a limit on just the UL denials or just the DL denials is not adequate. For example, if the UE is only not allowed UL denials (with no restrictions on the DL denials), the DL denials can still cause both UL and DL retransmissions, which can trigger link adaptation adjustments. Similarly, if the UE is only not allowed DL denials (with no restrictions on the UL denials), the UL denials can still cause both UL and DL retransmissions, which can trigger link adaptation adjustments.</w:t>
      </w:r>
    </w:p>
    <w:p w:rsidR="00BC49A7" w:rsidRDefault="00BC49A7" w:rsidP="002522AB">
      <w:pPr>
        <w:rPr>
          <w:b/>
          <w:i/>
          <w:lang w:val="en-US"/>
        </w:rPr>
      </w:pPr>
      <w:r>
        <w:rPr>
          <w:b/>
          <w:i/>
          <w:lang w:val="en-US"/>
        </w:rPr>
        <w:t>Observation: Placing a limit on just uplink autonomous denials or just downlink autonomous denials is not adequate.</w:t>
      </w:r>
    </w:p>
    <w:p w:rsidR="00F833F5" w:rsidRDefault="00BC49A7" w:rsidP="002522AB">
      <w:pPr>
        <w:rPr>
          <w:lang w:val="en-US"/>
        </w:rPr>
      </w:pPr>
      <w:r>
        <w:rPr>
          <w:lang w:val="en-US"/>
        </w:rPr>
        <w:t xml:space="preserve">For performing link adaptation on the downlink, the eNB would need to estimate the </w:t>
      </w:r>
      <w:r w:rsidR="00F833F5">
        <w:rPr>
          <w:lang w:val="en-US"/>
        </w:rPr>
        <w:t xml:space="preserve">packet </w:t>
      </w:r>
      <w:r>
        <w:rPr>
          <w:lang w:val="en-US"/>
        </w:rPr>
        <w:t xml:space="preserve">error rate on the downlink </w:t>
      </w:r>
      <w:r w:rsidR="00F833F5">
        <w:rPr>
          <w:lang w:val="en-US"/>
        </w:rPr>
        <w:t xml:space="preserve">that is attributable to channel conditions. </w:t>
      </w:r>
      <w:r w:rsidR="007240EC">
        <w:rPr>
          <w:lang w:val="en-US"/>
        </w:rPr>
        <w:t xml:space="preserve">That is, the eNB needs to estimate </w:t>
      </w:r>
      <w:r w:rsidR="00F833F5">
        <w:rPr>
          <w:lang w:val="en-US"/>
        </w:rPr>
        <w:t>DL retransmissions – n</w:t>
      </w:r>
      <w:r w:rsidR="00FA593D">
        <w:rPr>
          <w:lang w:val="en-US"/>
        </w:rPr>
        <w:t xml:space="preserve">umber </w:t>
      </w:r>
      <w:r w:rsidR="00F833F5">
        <w:rPr>
          <w:lang w:val="en-US"/>
        </w:rPr>
        <w:t xml:space="preserve">of </w:t>
      </w:r>
      <w:r w:rsidR="00801819">
        <w:rPr>
          <w:lang w:val="en-US"/>
        </w:rPr>
        <w:t>DL retransmissions caused by autonomous denials</w:t>
      </w:r>
      <w:r w:rsidR="007240EC">
        <w:rPr>
          <w:lang w:val="en-US"/>
        </w:rPr>
        <w:t xml:space="preserve">. </w:t>
      </w:r>
      <w:r w:rsidR="00557419">
        <w:rPr>
          <w:lang w:val="en-US"/>
        </w:rPr>
        <w:t xml:space="preserve">Since the eNB cannot know whether and how many autonomous denials actually occurred, it has to estimate </w:t>
      </w:r>
      <w:r w:rsidR="00FA593D">
        <w:rPr>
          <w:lang w:val="en-US"/>
        </w:rPr>
        <w:t>a</w:t>
      </w:r>
      <w:r w:rsidR="00557419">
        <w:rPr>
          <w:lang w:val="en-US"/>
        </w:rPr>
        <w:t xml:space="preserve"> lower bound on the packet error rate as DL retransmissions – (allowed UL autonomous denials + allowed DL autonomous denials).</w:t>
      </w:r>
    </w:p>
    <w:p w:rsidR="00FA593D" w:rsidRDefault="00FA593D" w:rsidP="002522AB">
      <w:pPr>
        <w:rPr>
          <w:lang w:val="en-US"/>
        </w:rPr>
      </w:pPr>
      <w:r>
        <w:rPr>
          <w:lang w:val="en-US"/>
        </w:rPr>
        <w:t>Similarly, for performing link adaptation on the uplink, the eNB would need to estimate a lower bound on the uplink packet error rate as UL retransmissions – (allowed UL autonomous denials + allowed DL autonomous denials).</w:t>
      </w:r>
    </w:p>
    <w:p w:rsidR="00F833F5" w:rsidRPr="00272E7E" w:rsidRDefault="00FA593D" w:rsidP="002522AB">
      <w:pPr>
        <w:rPr>
          <w:b/>
          <w:i/>
          <w:lang w:val="en-US"/>
        </w:rPr>
      </w:pPr>
      <w:r w:rsidRPr="00272E7E">
        <w:rPr>
          <w:b/>
          <w:i/>
          <w:lang w:val="en-US"/>
        </w:rPr>
        <w:t>Proposal 2: The long term denial rate should include both uplink and downlink autonomous denials, or there should be independent denial rates for uplink and downlink autonomous denials.</w:t>
      </w:r>
    </w:p>
    <w:p w:rsidR="00A75B13" w:rsidRDefault="008533B4" w:rsidP="00E94668">
      <w:pPr>
        <w:pStyle w:val="Heading1"/>
        <w:jc w:val="both"/>
        <w:rPr>
          <w:kern w:val="2"/>
        </w:rPr>
      </w:pPr>
      <w:r w:rsidRPr="008533B4">
        <w:rPr>
          <w:kern w:val="2"/>
        </w:rPr>
        <w:t>Summary</w:t>
      </w:r>
    </w:p>
    <w:p w:rsidR="002C6404" w:rsidRDefault="00DD6BFA" w:rsidP="002C6404">
      <w:r>
        <w:t>In the contribution we have considered some aspects of the long term denial rate for In-device coexistence related autonomous denials. The following are proposed:</w:t>
      </w:r>
    </w:p>
    <w:p w:rsidR="00DD6BFA" w:rsidRPr="00FA593D" w:rsidRDefault="00DD6BFA" w:rsidP="00DD6BFA">
      <w:pPr>
        <w:rPr>
          <w:b/>
          <w:i/>
          <w:lang w:val="en-US"/>
        </w:rPr>
      </w:pPr>
      <w:r w:rsidRPr="00FA593D">
        <w:rPr>
          <w:b/>
          <w:i/>
          <w:lang w:val="en-US"/>
        </w:rPr>
        <w:t>Proposal 1: The long term denial rate shall be specified such that the UE is allowed no more than ‘n’ autonomous denials in any contiguous duration of</w:t>
      </w:r>
      <w:r w:rsidRPr="00FA593D">
        <w:rPr>
          <w:b/>
          <w:lang w:val="en-US"/>
        </w:rPr>
        <w:t xml:space="preserve"> </w:t>
      </w:r>
      <w:r w:rsidRPr="00FA593D">
        <w:rPr>
          <w:b/>
          <w:i/>
          <w:lang w:val="en-US"/>
        </w:rPr>
        <w:t>‘T’ ms.</w:t>
      </w:r>
    </w:p>
    <w:p w:rsidR="00DD6BFA" w:rsidRPr="00DD6BFA" w:rsidRDefault="00DD6BFA" w:rsidP="002C6404">
      <w:pPr>
        <w:rPr>
          <w:b/>
          <w:i/>
          <w:lang w:val="en-US"/>
        </w:rPr>
      </w:pPr>
      <w:r w:rsidRPr="00272E7E">
        <w:rPr>
          <w:b/>
          <w:i/>
          <w:lang w:val="en-US"/>
        </w:rPr>
        <w:t>Proposal 2: The long term denial rate should include both uplink and downlink autonomous denials, or there should be independent denial rates for uplink and downlink autonomous denials.</w:t>
      </w:r>
    </w:p>
    <w:p w:rsidR="00492079" w:rsidRPr="00A27F38" w:rsidRDefault="008533B4">
      <w:pPr>
        <w:pStyle w:val="Heading1"/>
        <w:rPr>
          <w:kern w:val="2"/>
        </w:rPr>
      </w:pPr>
      <w:r w:rsidRPr="008533B4">
        <w:rPr>
          <w:kern w:val="2"/>
        </w:rPr>
        <w:lastRenderedPageBreak/>
        <w:t>References</w:t>
      </w:r>
    </w:p>
    <w:p w:rsidR="00F80AB9" w:rsidRPr="00A27F38" w:rsidRDefault="00DD6BFA" w:rsidP="00DD6BFA">
      <w:pPr>
        <w:pStyle w:val="ListParagraph"/>
        <w:numPr>
          <w:ilvl w:val="0"/>
          <w:numId w:val="22"/>
        </w:numPr>
      </w:pPr>
      <w:bookmarkStart w:id="1" w:name="_Ref332023350"/>
      <w:r>
        <w:t>R2-123813, “</w:t>
      </w:r>
      <w:r w:rsidRPr="00DD6BFA">
        <w:t>Report of Email discussion [78#51] LTE/IDC: Autonomous Denials</w:t>
      </w:r>
      <w:r>
        <w:t>”, Qualcomm Incorporated (Rapporteur), RAN2#79.</w:t>
      </w:r>
      <w:bookmarkEnd w:id="1"/>
    </w:p>
    <w:sectPr w:rsidR="00F80AB9" w:rsidRPr="00A27F38" w:rsidSect="00E41EE3">
      <w:footerReference w:type="even" r:id="rId12"/>
      <w:footerReference w:type="default" r:id="rId13"/>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D7D" w:rsidRDefault="00624D7D">
      <w:r>
        <w:separator/>
      </w:r>
    </w:p>
  </w:endnote>
  <w:endnote w:type="continuationSeparator" w:id="0">
    <w:p w:rsidR="00624D7D" w:rsidRDefault="00624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9018B4"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9018B4"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B6340E">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D7D" w:rsidRDefault="00624D7D">
      <w:r>
        <w:separator/>
      </w:r>
    </w:p>
  </w:footnote>
  <w:footnote w:type="continuationSeparator" w:id="0">
    <w:p w:rsidR="00624D7D" w:rsidRDefault="00624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563BDC"/>
    <w:multiLevelType w:val="hybridMultilevel"/>
    <w:tmpl w:val="4C607112"/>
    <w:lvl w:ilvl="0" w:tplc="C9AEBD8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72363"/>
    <w:multiLevelType w:val="hybridMultilevel"/>
    <w:tmpl w:val="6ACA2754"/>
    <w:lvl w:ilvl="0" w:tplc="CA8E3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3C50B4"/>
    <w:multiLevelType w:val="hybridMultilevel"/>
    <w:tmpl w:val="3F563F12"/>
    <w:lvl w:ilvl="0" w:tplc="C9AEBD8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0A62D2C"/>
    <w:multiLevelType w:val="hybridMultilevel"/>
    <w:tmpl w:val="8A9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64675A"/>
    <w:multiLevelType w:val="hybridMultilevel"/>
    <w:tmpl w:val="4FD86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B22F67"/>
    <w:multiLevelType w:val="hybridMultilevel"/>
    <w:tmpl w:val="A9165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5246B3"/>
    <w:multiLevelType w:val="hybridMultilevel"/>
    <w:tmpl w:val="EF4245F0"/>
    <w:lvl w:ilvl="0" w:tplc="5678D5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11"/>
  </w:num>
  <w:num w:numId="4">
    <w:abstractNumId w:val="14"/>
  </w:num>
  <w:num w:numId="5">
    <w:abstractNumId w:val="16"/>
  </w:num>
  <w:num w:numId="6">
    <w:abstractNumId w:val="9"/>
  </w:num>
  <w:num w:numId="7">
    <w:abstractNumId w:val="0"/>
  </w:num>
  <w:num w:numId="8">
    <w:abstractNumId w:val="15"/>
  </w:num>
  <w:num w:numId="9">
    <w:abstractNumId w:val="6"/>
  </w:num>
  <w:num w:numId="10">
    <w:abstractNumId w:val="10"/>
  </w:num>
  <w:num w:numId="11">
    <w:abstractNumId w:val="5"/>
  </w:num>
  <w:num w:numId="12">
    <w:abstractNumId w:val="19"/>
  </w:num>
  <w:num w:numId="13">
    <w:abstractNumId w:val="3"/>
  </w:num>
  <w:num w:numId="14">
    <w:abstractNumId w:val="17"/>
  </w:num>
  <w:num w:numId="15">
    <w:abstractNumId w:val="8"/>
  </w:num>
  <w:num w:numId="16">
    <w:abstractNumId w:val="7"/>
  </w:num>
  <w:num w:numId="17">
    <w:abstractNumId w:val="21"/>
  </w:num>
  <w:num w:numId="18">
    <w:abstractNumId w:val="18"/>
  </w:num>
  <w:num w:numId="19">
    <w:abstractNumId w:val="13"/>
  </w:num>
  <w:num w:numId="20">
    <w:abstractNumId w:val="4"/>
  </w:num>
  <w:num w:numId="21">
    <w:abstractNumId w:val="1"/>
  </w:num>
  <w:num w:numId="22">
    <w:abstractNumId w:val="2"/>
  </w:num>
  <w:num w:numId="23">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embedSystemFonts/>
  <w:proofState w:spelling="clean" w:grammar="clean"/>
  <w:stylePaneFormatFilter w:val="3F01"/>
  <w:doNotTrackMoves/>
  <w:defaultTabStop w:val="720"/>
  <w:drawingGridHorizontalSpacing w:val="187"/>
  <w:displayVerticalDrawingGridEvery w:val="2"/>
  <w:noPunctuationKerning/>
  <w:characterSpacingControl w:val="doNotCompress"/>
  <w:hdrShapeDefaults>
    <o:shapedefaults v:ext="edit" spidmax="4608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185E"/>
    <w:rsid w:val="00002C8D"/>
    <w:rsid w:val="0000336D"/>
    <w:rsid w:val="000035BF"/>
    <w:rsid w:val="000041C4"/>
    <w:rsid w:val="000043E2"/>
    <w:rsid w:val="000044D3"/>
    <w:rsid w:val="00006075"/>
    <w:rsid w:val="000066B0"/>
    <w:rsid w:val="00006A2E"/>
    <w:rsid w:val="00006E07"/>
    <w:rsid w:val="0000708C"/>
    <w:rsid w:val="00007E3A"/>
    <w:rsid w:val="000126F0"/>
    <w:rsid w:val="00012A23"/>
    <w:rsid w:val="000138B9"/>
    <w:rsid w:val="000140B9"/>
    <w:rsid w:val="00014563"/>
    <w:rsid w:val="00014758"/>
    <w:rsid w:val="00014AF6"/>
    <w:rsid w:val="0001536B"/>
    <w:rsid w:val="0002020B"/>
    <w:rsid w:val="0002044D"/>
    <w:rsid w:val="000206AA"/>
    <w:rsid w:val="000212C5"/>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23"/>
    <w:rsid w:val="00040891"/>
    <w:rsid w:val="00040A8B"/>
    <w:rsid w:val="000430F9"/>
    <w:rsid w:val="00044868"/>
    <w:rsid w:val="00045273"/>
    <w:rsid w:val="000458F9"/>
    <w:rsid w:val="000465F9"/>
    <w:rsid w:val="00046716"/>
    <w:rsid w:val="00046EAD"/>
    <w:rsid w:val="000508DD"/>
    <w:rsid w:val="0005156C"/>
    <w:rsid w:val="0005210F"/>
    <w:rsid w:val="00052DCC"/>
    <w:rsid w:val="00053E64"/>
    <w:rsid w:val="000549DF"/>
    <w:rsid w:val="00054ECC"/>
    <w:rsid w:val="00055587"/>
    <w:rsid w:val="00055806"/>
    <w:rsid w:val="000560FB"/>
    <w:rsid w:val="00060284"/>
    <w:rsid w:val="00060298"/>
    <w:rsid w:val="00060B2F"/>
    <w:rsid w:val="00060D85"/>
    <w:rsid w:val="000618AB"/>
    <w:rsid w:val="00065287"/>
    <w:rsid w:val="0006653A"/>
    <w:rsid w:val="00066D22"/>
    <w:rsid w:val="0006756E"/>
    <w:rsid w:val="000706C5"/>
    <w:rsid w:val="00070B14"/>
    <w:rsid w:val="00071334"/>
    <w:rsid w:val="000714ED"/>
    <w:rsid w:val="00072023"/>
    <w:rsid w:val="000726A0"/>
    <w:rsid w:val="000738BC"/>
    <w:rsid w:val="0007459A"/>
    <w:rsid w:val="00075C93"/>
    <w:rsid w:val="000762B6"/>
    <w:rsid w:val="00076550"/>
    <w:rsid w:val="000766C6"/>
    <w:rsid w:val="00076A23"/>
    <w:rsid w:val="00076F05"/>
    <w:rsid w:val="00080A2E"/>
    <w:rsid w:val="000815C7"/>
    <w:rsid w:val="00081911"/>
    <w:rsid w:val="00081C19"/>
    <w:rsid w:val="00081DA9"/>
    <w:rsid w:val="00084055"/>
    <w:rsid w:val="0008423D"/>
    <w:rsid w:val="00084DA5"/>
    <w:rsid w:val="000855F5"/>
    <w:rsid w:val="000856AC"/>
    <w:rsid w:val="00085BD1"/>
    <w:rsid w:val="00086A7F"/>
    <w:rsid w:val="00087114"/>
    <w:rsid w:val="000873FB"/>
    <w:rsid w:val="00087448"/>
    <w:rsid w:val="0009039A"/>
    <w:rsid w:val="000908C1"/>
    <w:rsid w:val="00091801"/>
    <w:rsid w:val="00091C2A"/>
    <w:rsid w:val="000936D1"/>
    <w:rsid w:val="000939A4"/>
    <w:rsid w:val="0009426B"/>
    <w:rsid w:val="0009472C"/>
    <w:rsid w:val="000947B0"/>
    <w:rsid w:val="00094A37"/>
    <w:rsid w:val="00095C9F"/>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1C61"/>
    <w:rsid w:val="000C1CE3"/>
    <w:rsid w:val="000C27AF"/>
    <w:rsid w:val="000C27EE"/>
    <w:rsid w:val="000C51A8"/>
    <w:rsid w:val="000C5714"/>
    <w:rsid w:val="000C5A72"/>
    <w:rsid w:val="000C61FE"/>
    <w:rsid w:val="000C64DE"/>
    <w:rsid w:val="000C6D4E"/>
    <w:rsid w:val="000D167C"/>
    <w:rsid w:val="000D1E2E"/>
    <w:rsid w:val="000D3040"/>
    <w:rsid w:val="000D3D2E"/>
    <w:rsid w:val="000D4030"/>
    <w:rsid w:val="000D4D4A"/>
    <w:rsid w:val="000D5460"/>
    <w:rsid w:val="000D604C"/>
    <w:rsid w:val="000D79B0"/>
    <w:rsid w:val="000E1701"/>
    <w:rsid w:val="000E287F"/>
    <w:rsid w:val="000E2DDD"/>
    <w:rsid w:val="000E3651"/>
    <w:rsid w:val="000E38F0"/>
    <w:rsid w:val="000E645B"/>
    <w:rsid w:val="000E6828"/>
    <w:rsid w:val="000E6C5E"/>
    <w:rsid w:val="000E7CBF"/>
    <w:rsid w:val="000F1084"/>
    <w:rsid w:val="000F1A69"/>
    <w:rsid w:val="000F1F10"/>
    <w:rsid w:val="000F24CB"/>
    <w:rsid w:val="000F2AD6"/>
    <w:rsid w:val="000F2B3A"/>
    <w:rsid w:val="000F412F"/>
    <w:rsid w:val="000F4798"/>
    <w:rsid w:val="000F4F4E"/>
    <w:rsid w:val="000F6DF1"/>
    <w:rsid w:val="000F7C0C"/>
    <w:rsid w:val="000F7C2D"/>
    <w:rsid w:val="001003D6"/>
    <w:rsid w:val="001004FC"/>
    <w:rsid w:val="00100692"/>
    <w:rsid w:val="00100D3C"/>
    <w:rsid w:val="001011EF"/>
    <w:rsid w:val="00101291"/>
    <w:rsid w:val="00101C05"/>
    <w:rsid w:val="001020CE"/>
    <w:rsid w:val="0010297E"/>
    <w:rsid w:val="00102F9D"/>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2E46"/>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50E8"/>
    <w:rsid w:val="00135278"/>
    <w:rsid w:val="00136026"/>
    <w:rsid w:val="00136BE7"/>
    <w:rsid w:val="00137FE7"/>
    <w:rsid w:val="001402FA"/>
    <w:rsid w:val="001407D1"/>
    <w:rsid w:val="00141842"/>
    <w:rsid w:val="001419E2"/>
    <w:rsid w:val="00141DD7"/>
    <w:rsid w:val="00142095"/>
    <w:rsid w:val="00142715"/>
    <w:rsid w:val="00143F52"/>
    <w:rsid w:val="00145BD1"/>
    <w:rsid w:val="00145C7B"/>
    <w:rsid w:val="00145C98"/>
    <w:rsid w:val="001461BE"/>
    <w:rsid w:val="00147025"/>
    <w:rsid w:val="0014737E"/>
    <w:rsid w:val="001474EE"/>
    <w:rsid w:val="00150E79"/>
    <w:rsid w:val="001515FE"/>
    <w:rsid w:val="00152A5A"/>
    <w:rsid w:val="001534D3"/>
    <w:rsid w:val="001539FC"/>
    <w:rsid w:val="001544BB"/>
    <w:rsid w:val="00154D8F"/>
    <w:rsid w:val="001553F4"/>
    <w:rsid w:val="0015578C"/>
    <w:rsid w:val="00155F58"/>
    <w:rsid w:val="00156014"/>
    <w:rsid w:val="00156127"/>
    <w:rsid w:val="00156229"/>
    <w:rsid w:val="0015647B"/>
    <w:rsid w:val="0015733F"/>
    <w:rsid w:val="00160EE8"/>
    <w:rsid w:val="00161483"/>
    <w:rsid w:val="0016157A"/>
    <w:rsid w:val="001615E8"/>
    <w:rsid w:val="0016208E"/>
    <w:rsid w:val="001635C4"/>
    <w:rsid w:val="0016414B"/>
    <w:rsid w:val="001655BB"/>
    <w:rsid w:val="00165A50"/>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F43"/>
    <w:rsid w:val="00182D94"/>
    <w:rsid w:val="001848A4"/>
    <w:rsid w:val="00185267"/>
    <w:rsid w:val="00185290"/>
    <w:rsid w:val="00185295"/>
    <w:rsid w:val="001852DD"/>
    <w:rsid w:val="00186316"/>
    <w:rsid w:val="00186FCF"/>
    <w:rsid w:val="00187F07"/>
    <w:rsid w:val="00190964"/>
    <w:rsid w:val="001917F5"/>
    <w:rsid w:val="0019198B"/>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19"/>
    <w:rsid w:val="001A6C2A"/>
    <w:rsid w:val="001B00BC"/>
    <w:rsid w:val="001B1CAE"/>
    <w:rsid w:val="001B1EB8"/>
    <w:rsid w:val="001B277D"/>
    <w:rsid w:val="001B2E62"/>
    <w:rsid w:val="001B32A7"/>
    <w:rsid w:val="001B5BE4"/>
    <w:rsid w:val="001B61BC"/>
    <w:rsid w:val="001C026F"/>
    <w:rsid w:val="001C05CC"/>
    <w:rsid w:val="001C1A51"/>
    <w:rsid w:val="001C2172"/>
    <w:rsid w:val="001C329F"/>
    <w:rsid w:val="001C33DF"/>
    <w:rsid w:val="001C3A1A"/>
    <w:rsid w:val="001C3CE2"/>
    <w:rsid w:val="001C5266"/>
    <w:rsid w:val="001C7515"/>
    <w:rsid w:val="001D0622"/>
    <w:rsid w:val="001D0748"/>
    <w:rsid w:val="001D16E6"/>
    <w:rsid w:val="001D1EBB"/>
    <w:rsid w:val="001D32BF"/>
    <w:rsid w:val="001D4423"/>
    <w:rsid w:val="001D4791"/>
    <w:rsid w:val="001D6874"/>
    <w:rsid w:val="001D6F28"/>
    <w:rsid w:val="001E060D"/>
    <w:rsid w:val="001E0A9A"/>
    <w:rsid w:val="001E2D77"/>
    <w:rsid w:val="001E2FF1"/>
    <w:rsid w:val="001E3377"/>
    <w:rsid w:val="001E3A86"/>
    <w:rsid w:val="001E460C"/>
    <w:rsid w:val="001E4954"/>
    <w:rsid w:val="001E5106"/>
    <w:rsid w:val="001E5E8F"/>
    <w:rsid w:val="001E606A"/>
    <w:rsid w:val="001E67A0"/>
    <w:rsid w:val="001F0331"/>
    <w:rsid w:val="001F0D60"/>
    <w:rsid w:val="001F0E77"/>
    <w:rsid w:val="001F1C40"/>
    <w:rsid w:val="001F3656"/>
    <w:rsid w:val="001F44BA"/>
    <w:rsid w:val="001F4D6E"/>
    <w:rsid w:val="001F56E3"/>
    <w:rsid w:val="001F7130"/>
    <w:rsid w:val="001F7AD7"/>
    <w:rsid w:val="002007CC"/>
    <w:rsid w:val="002009BC"/>
    <w:rsid w:val="00201DCB"/>
    <w:rsid w:val="00203517"/>
    <w:rsid w:val="00203956"/>
    <w:rsid w:val="00203AE8"/>
    <w:rsid w:val="0020465C"/>
    <w:rsid w:val="002047DD"/>
    <w:rsid w:val="002049E0"/>
    <w:rsid w:val="00205133"/>
    <w:rsid w:val="002056A4"/>
    <w:rsid w:val="002064C0"/>
    <w:rsid w:val="00207911"/>
    <w:rsid w:val="00207AC1"/>
    <w:rsid w:val="00207EF1"/>
    <w:rsid w:val="002109E4"/>
    <w:rsid w:val="00210D8C"/>
    <w:rsid w:val="0021133C"/>
    <w:rsid w:val="00211A68"/>
    <w:rsid w:val="002121BD"/>
    <w:rsid w:val="00214055"/>
    <w:rsid w:val="00214AC0"/>
    <w:rsid w:val="00214DC7"/>
    <w:rsid w:val="00215226"/>
    <w:rsid w:val="00215707"/>
    <w:rsid w:val="00216196"/>
    <w:rsid w:val="002167F9"/>
    <w:rsid w:val="00217169"/>
    <w:rsid w:val="00220DB6"/>
    <w:rsid w:val="00221631"/>
    <w:rsid w:val="002219A6"/>
    <w:rsid w:val="00222071"/>
    <w:rsid w:val="0022361F"/>
    <w:rsid w:val="0022424D"/>
    <w:rsid w:val="00224B1D"/>
    <w:rsid w:val="00224CAB"/>
    <w:rsid w:val="00224D70"/>
    <w:rsid w:val="00224F24"/>
    <w:rsid w:val="002251A8"/>
    <w:rsid w:val="0022628B"/>
    <w:rsid w:val="00226362"/>
    <w:rsid w:val="0023296E"/>
    <w:rsid w:val="00233A6E"/>
    <w:rsid w:val="0023455A"/>
    <w:rsid w:val="00234848"/>
    <w:rsid w:val="00234C3C"/>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400"/>
    <w:rsid w:val="002507DC"/>
    <w:rsid w:val="00250C10"/>
    <w:rsid w:val="00250FAD"/>
    <w:rsid w:val="002515C8"/>
    <w:rsid w:val="00251D0F"/>
    <w:rsid w:val="00252130"/>
    <w:rsid w:val="002522AB"/>
    <w:rsid w:val="0025231B"/>
    <w:rsid w:val="002528F6"/>
    <w:rsid w:val="00255E3A"/>
    <w:rsid w:val="00256DD6"/>
    <w:rsid w:val="00256E6F"/>
    <w:rsid w:val="00257A5B"/>
    <w:rsid w:val="00260BD4"/>
    <w:rsid w:val="0026125B"/>
    <w:rsid w:val="00261327"/>
    <w:rsid w:val="00261628"/>
    <w:rsid w:val="002636DA"/>
    <w:rsid w:val="00263D7A"/>
    <w:rsid w:val="00264F2B"/>
    <w:rsid w:val="00265FE1"/>
    <w:rsid w:val="00267266"/>
    <w:rsid w:val="00267439"/>
    <w:rsid w:val="002704C3"/>
    <w:rsid w:val="00270874"/>
    <w:rsid w:val="002711CD"/>
    <w:rsid w:val="00271711"/>
    <w:rsid w:val="00271E23"/>
    <w:rsid w:val="00272E7E"/>
    <w:rsid w:val="00273483"/>
    <w:rsid w:val="0027360C"/>
    <w:rsid w:val="0027389A"/>
    <w:rsid w:val="00273EE1"/>
    <w:rsid w:val="00274AAC"/>
    <w:rsid w:val="0027571E"/>
    <w:rsid w:val="002764F8"/>
    <w:rsid w:val="00280983"/>
    <w:rsid w:val="00281AF9"/>
    <w:rsid w:val="002825CD"/>
    <w:rsid w:val="002835CA"/>
    <w:rsid w:val="00283CB2"/>
    <w:rsid w:val="00283F98"/>
    <w:rsid w:val="00284948"/>
    <w:rsid w:val="00284D7C"/>
    <w:rsid w:val="002857FD"/>
    <w:rsid w:val="002864CA"/>
    <w:rsid w:val="00286DA2"/>
    <w:rsid w:val="0028781C"/>
    <w:rsid w:val="00287DEA"/>
    <w:rsid w:val="00290116"/>
    <w:rsid w:val="0029055E"/>
    <w:rsid w:val="0029114E"/>
    <w:rsid w:val="00292086"/>
    <w:rsid w:val="002927DA"/>
    <w:rsid w:val="00292AE3"/>
    <w:rsid w:val="0029301F"/>
    <w:rsid w:val="00293249"/>
    <w:rsid w:val="00294241"/>
    <w:rsid w:val="0029607F"/>
    <w:rsid w:val="00296694"/>
    <w:rsid w:val="00296FCC"/>
    <w:rsid w:val="002974A6"/>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6D44"/>
    <w:rsid w:val="002B70E3"/>
    <w:rsid w:val="002C2048"/>
    <w:rsid w:val="002C2E37"/>
    <w:rsid w:val="002C31EA"/>
    <w:rsid w:val="002C32AF"/>
    <w:rsid w:val="002C377E"/>
    <w:rsid w:val="002C3CA3"/>
    <w:rsid w:val="002C3CF4"/>
    <w:rsid w:val="002C4DC2"/>
    <w:rsid w:val="002C6404"/>
    <w:rsid w:val="002C6406"/>
    <w:rsid w:val="002C652E"/>
    <w:rsid w:val="002C7D3D"/>
    <w:rsid w:val="002C7DB9"/>
    <w:rsid w:val="002D0F0E"/>
    <w:rsid w:val="002D1340"/>
    <w:rsid w:val="002D15B1"/>
    <w:rsid w:val="002D1F36"/>
    <w:rsid w:val="002D2612"/>
    <w:rsid w:val="002D2671"/>
    <w:rsid w:val="002D344C"/>
    <w:rsid w:val="002D432A"/>
    <w:rsid w:val="002D43F3"/>
    <w:rsid w:val="002D5998"/>
    <w:rsid w:val="002D659B"/>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F0E45"/>
    <w:rsid w:val="002F132C"/>
    <w:rsid w:val="002F2AEF"/>
    <w:rsid w:val="002F316D"/>
    <w:rsid w:val="002F5741"/>
    <w:rsid w:val="002F5CF0"/>
    <w:rsid w:val="002F5FB4"/>
    <w:rsid w:val="002F62FF"/>
    <w:rsid w:val="002F6740"/>
    <w:rsid w:val="002F6A0F"/>
    <w:rsid w:val="002F6DBE"/>
    <w:rsid w:val="002F719C"/>
    <w:rsid w:val="002F7C86"/>
    <w:rsid w:val="00300397"/>
    <w:rsid w:val="00300872"/>
    <w:rsid w:val="00301BE3"/>
    <w:rsid w:val="00302B5F"/>
    <w:rsid w:val="00302E9B"/>
    <w:rsid w:val="003047EE"/>
    <w:rsid w:val="003055DE"/>
    <w:rsid w:val="00305E71"/>
    <w:rsid w:val="00306710"/>
    <w:rsid w:val="00306C41"/>
    <w:rsid w:val="00307652"/>
    <w:rsid w:val="003079F6"/>
    <w:rsid w:val="00310364"/>
    <w:rsid w:val="00310713"/>
    <w:rsid w:val="0031094F"/>
    <w:rsid w:val="00312974"/>
    <w:rsid w:val="0031368B"/>
    <w:rsid w:val="00314508"/>
    <w:rsid w:val="003145AB"/>
    <w:rsid w:val="00315FEF"/>
    <w:rsid w:val="0031707C"/>
    <w:rsid w:val="003175BC"/>
    <w:rsid w:val="00317764"/>
    <w:rsid w:val="00317E5A"/>
    <w:rsid w:val="00321111"/>
    <w:rsid w:val="00321AA0"/>
    <w:rsid w:val="0032224E"/>
    <w:rsid w:val="00322B1B"/>
    <w:rsid w:val="00322C64"/>
    <w:rsid w:val="00322FD7"/>
    <w:rsid w:val="0032311F"/>
    <w:rsid w:val="00324EFA"/>
    <w:rsid w:val="00326123"/>
    <w:rsid w:val="00326740"/>
    <w:rsid w:val="003306BC"/>
    <w:rsid w:val="0033074B"/>
    <w:rsid w:val="00331B8F"/>
    <w:rsid w:val="00331E73"/>
    <w:rsid w:val="003320A8"/>
    <w:rsid w:val="00332EF3"/>
    <w:rsid w:val="003338D2"/>
    <w:rsid w:val="003345B5"/>
    <w:rsid w:val="003352CD"/>
    <w:rsid w:val="003352E0"/>
    <w:rsid w:val="003360AD"/>
    <w:rsid w:val="003376C2"/>
    <w:rsid w:val="00337776"/>
    <w:rsid w:val="00340AC1"/>
    <w:rsid w:val="0034241B"/>
    <w:rsid w:val="0034244A"/>
    <w:rsid w:val="00342474"/>
    <w:rsid w:val="00342A06"/>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A9C"/>
    <w:rsid w:val="00360EB2"/>
    <w:rsid w:val="00361AB4"/>
    <w:rsid w:val="00361F6E"/>
    <w:rsid w:val="00362D95"/>
    <w:rsid w:val="00364197"/>
    <w:rsid w:val="00364F6F"/>
    <w:rsid w:val="00365904"/>
    <w:rsid w:val="0036603E"/>
    <w:rsid w:val="00366246"/>
    <w:rsid w:val="00367CC1"/>
    <w:rsid w:val="0037000A"/>
    <w:rsid w:val="003705AA"/>
    <w:rsid w:val="00370789"/>
    <w:rsid w:val="00370920"/>
    <w:rsid w:val="00371441"/>
    <w:rsid w:val="00371E7E"/>
    <w:rsid w:val="003755A0"/>
    <w:rsid w:val="0037578C"/>
    <w:rsid w:val="0038090A"/>
    <w:rsid w:val="003830FB"/>
    <w:rsid w:val="00384AE3"/>
    <w:rsid w:val="00384AF9"/>
    <w:rsid w:val="00385BF2"/>
    <w:rsid w:val="00385EB3"/>
    <w:rsid w:val="00385F8A"/>
    <w:rsid w:val="0038665A"/>
    <w:rsid w:val="00387418"/>
    <w:rsid w:val="003878C4"/>
    <w:rsid w:val="003914CA"/>
    <w:rsid w:val="00393585"/>
    <w:rsid w:val="00394EA5"/>
    <w:rsid w:val="00395BA8"/>
    <w:rsid w:val="00396EF5"/>
    <w:rsid w:val="00396F89"/>
    <w:rsid w:val="003A039D"/>
    <w:rsid w:val="003A10BF"/>
    <w:rsid w:val="003A16AC"/>
    <w:rsid w:val="003A36D2"/>
    <w:rsid w:val="003A3BA0"/>
    <w:rsid w:val="003A4897"/>
    <w:rsid w:val="003A4C49"/>
    <w:rsid w:val="003A5029"/>
    <w:rsid w:val="003A5380"/>
    <w:rsid w:val="003A57D9"/>
    <w:rsid w:val="003A6C8D"/>
    <w:rsid w:val="003A6FE8"/>
    <w:rsid w:val="003A7492"/>
    <w:rsid w:val="003A7D2F"/>
    <w:rsid w:val="003B0DC9"/>
    <w:rsid w:val="003B3295"/>
    <w:rsid w:val="003B3D98"/>
    <w:rsid w:val="003B4965"/>
    <w:rsid w:val="003B49E4"/>
    <w:rsid w:val="003B4EBB"/>
    <w:rsid w:val="003B6478"/>
    <w:rsid w:val="003B6EE5"/>
    <w:rsid w:val="003B778F"/>
    <w:rsid w:val="003B7A1F"/>
    <w:rsid w:val="003C00F0"/>
    <w:rsid w:val="003C20E9"/>
    <w:rsid w:val="003C252B"/>
    <w:rsid w:val="003C3A24"/>
    <w:rsid w:val="003C4616"/>
    <w:rsid w:val="003C4D3F"/>
    <w:rsid w:val="003C5438"/>
    <w:rsid w:val="003C5B22"/>
    <w:rsid w:val="003C695C"/>
    <w:rsid w:val="003C6C6D"/>
    <w:rsid w:val="003C78C7"/>
    <w:rsid w:val="003D0944"/>
    <w:rsid w:val="003D0F06"/>
    <w:rsid w:val="003D1550"/>
    <w:rsid w:val="003D16A8"/>
    <w:rsid w:val="003D188E"/>
    <w:rsid w:val="003D1BC9"/>
    <w:rsid w:val="003D22AA"/>
    <w:rsid w:val="003D3448"/>
    <w:rsid w:val="003D4276"/>
    <w:rsid w:val="003D44CB"/>
    <w:rsid w:val="003D4956"/>
    <w:rsid w:val="003D4A70"/>
    <w:rsid w:val="003D4E9C"/>
    <w:rsid w:val="003D4FEA"/>
    <w:rsid w:val="003D4FF4"/>
    <w:rsid w:val="003D556F"/>
    <w:rsid w:val="003D57D3"/>
    <w:rsid w:val="003D5BEE"/>
    <w:rsid w:val="003D5CB3"/>
    <w:rsid w:val="003D739D"/>
    <w:rsid w:val="003D7BA9"/>
    <w:rsid w:val="003D7D61"/>
    <w:rsid w:val="003E08BB"/>
    <w:rsid w:val="003E0BCE"/>
    <w:rsid w:val="003E1059"/>
    <w:rsid w:val="003E157A"/>
    <w:rsid w:val="003E1B49"/>
    <w:rsid w:val="003E1FB4"/>
    <w:rsid w:val="003E28D7"/>
    <w:rsid w:val="003E2ECE"/>
    <w:rsid w:val="003E38D5"/>
    <w:rsid w:val="003E3AF3"/>
    <w:rsid w:val="003E3E7B"/>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B13"/>
    <w:rsid w:val="003F616F"/>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2548"/>
    <w:rsid w:val="004131D2"/>
    <w:rsid w:val="004136AF"/>
    <w:rsid w:val="0041408C"/>
    <w:rsid w:val="00414B32"/>
    <w:rsid w:val="004151F5"/>
    <w:rsid w:val="004153B3"/>
    <w:rsid w:val="00415D47"/>
    <w:rsid w:val="004164D1"/>
    <w:rsid w:val="00417762"/>
    <w:rsid w:val="0042065E"/>
    <w:rsid w:val="00420B9E"/>
    <w:rsid w:val="00420BBE"/>
    <w:rsid w:val="00422406"/>
    <w:rsid w:val="004225EA"/>
    <w:rsid w:val="00422BCC"/>
    <w:rsid w:val="00423063"/>
    <w:rsid w:val="00424630"/>
    <w:rsid w:val="00425EA2"/>
    <w:rsid w:val="004263D4"/>
    <w:rsid w:val="0042686C"/>
    <w:rsid w:val="00427CCB"/>
    <w:rsid w:val="00427EB3"/>
    <w:rsid w:val="00430CA8"/>
    <w:rsid w:val="00431ADD"/>
    <w:rsid w:val="004325EA"/>
    <w:rsid w:val="004325EE"/>
    <w:rsid w:val="004326A1"/>
    <w:rsid w:val="004326E0"/>
    <w:rsid w:val="004329B6"/>
    <w:rsid w:val="00433AEA"/>
    <w:rsid w:val="00433DDC"/>
    <w:rsid w:val="00433E0D"/>
    <w:rsid w:val="00434141"/>
    <w:rsid w:val="00434216"/>
    <w:rsid w:val="00434355"/>
    <w:rsid w:val="0043475C"/>
    <w:rsid w:val="00435A6D"/>
    <w:rsid w:val="00436188"/>
    <w:rsid w:val="00436573"/>
    <w:rsid w:val="00436766"/>
    <w:rsid w:val="00436CBB"/>
    <w:rsid w:val="004372BA"/>
    <w:rsid w:val="0043755A"/>
    <w:rsid w:val="004377F7"/>
    <w:rsid w:val="00437AC1"/>
    <w:rsid w:val="00437F8D"/>
    <w:rsid w:val="004402AD"/>
    <w:rsid w:val="00440CE9"/>
    <w:rsid w:val="004419F0"/>
    <w:rsid w:val="00442885"/>
    <w:rsid w:val="004433A0"/>
    <w:rsid w:val="004436D8"/>
    <w:rsid w:val="00443802"/>
    <w:rsid w:val="00443C24"/>
    <w:rsid w:val="004444AD"/>
    <w:rsid w:val="00445D32"/>
    <w:rsid w:val="00446017"/>
    <w:rsid w:val="00446B7C"/>
    <w:rsid w:val="00450598"/>
    <w:rsid w:val="00450A2E"/>
    <w:rsid w:val="00451CB9"/>
    <w:rsid w:val="004528A2"/>
    <w:rsid w:val="00452DA2"/>
    <w:rsid w:val="004532D2"/>
    <w:rsid w:val="004538EB"/>
    <w:rsid w:val="00453C94"/>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67F61"/>
    <w:rsid w:val="0047042B"/>
    <w:rsid w:val="00470830"/>
    <w:rsid w:val="0047282A"/>
    <w:rsid w:val="00473FB8"/>
    <w:rsid w:val="0047544E"/>
    <w:rsid w:val="00475D69"/>
    <w:rsid w:val="00476157"/>
    <w:rsid w:val="00476264"/>
    <w:rsid w:val="00480C54"/>
    <w:rsid w:val="004823EE"/>
    <w:rsid w:val="0048256C"/>
    <w:rsid w:val="004839CD"/>
    <w:rsid w:val="00484B4E"/>
    <w:rsid w:val="00484BCC"/>
    <w:rsid w:val="004860BE"/>
    <w:rsid w:val="00486514"/>
    <w:rsid w:val="00486802"/>
    <w:rsid w:val="0048693C"/>
    <w:rsid w:val="0048694C"/>
    <w:rsid w:val="00486F34"/>
    <w:rsid w:val="00487B17"/>
    <w:rsid w:val="00491702"/>
    <w:rsid w:val="00491D80"/>
    <w:rsid w:val="00492079"/>
    <w:rsid w:val="00492104"/>
    <w:rsid w:val="004924FA"/>
    <w:rsid w:val="004927AC"/>
    <w:rsid w:val="004939B7"/>
    <w:rsid w:val="00494829"/>
    <w:rsid w:val="0049584D"/>
    <w:rsid w:val="004958A2"/>
    <w:rsid w:val="00496B6B"/>
    <w:rsid w:val="00496E4B"/>
    <w:rsid w:val="00497D0F"/>
    <w:rsid w:val="004A00C5"/>
    <w:rsid w:val="004A1640"/>
    <w:rsid w:val="004A2134"/>
    <w:rsid w:val="004A36C0"/>
    <w:rsid w:val="004A391E"/>
    <w:rsid w:val="004A39D4"/>
    <w:rsid w:val="004A461A"/>
    <w:rsid w:val="004A58DD"/>
    <w:rsid w:val="004A662F"/>
    <w:rsid w:val="004A77E7"/>
    <w:rsid w:val="004A7A4A"/>
    <w:rsid w:val="004B09A8"/>
    <w:rsid w:val="004B1948"/>
    <w:rsid w:val="004B205C"/>
    <w:rsid w:val="004B31A5"/>
    <w:rsid w:val="004B34A9"/>
    <w:rsid w:val="004B35F6"/>
    <w:rsid w:val="004B4C66"/>
    <w:rsid w:val="004B52B2"/>
    <w:rsid w:val="004B5536"/>
    <w:rsid w:val="004B5A94"/>
    <w:rsid w:val="004C12E9"/>
    <w:rsid w:val="004C1842"/>
    <w:rsid w:val="004C1997"/>
    <w:rsid w:val="004C2B35"/>
    <w:rsid w:val="004C39DB"/>
    <w:rsid w:val="004C4225"/>
    <w:rsid w:val="004C6F0E"/>
    <w:rsid w:val="004C78E7"/>
    <w:rsid w:val="004D0B43"/>
    <w:rsid w:val="004D2C4A"/>
    <w:rsid w:val="004D407E"/>
    <w:rsid w:val="004D4175"/>
    <w:rsid w:val="004D45EB"/>
    <w:rsid w:val="004D4808"/>
    <w:rsid w:val="004D4878"/>
    <w:rsid w:val="004D4A81"/>
    <w:rsid w:val="004D55A3"/>
    <w:rsid w:val="004D5F52"/>
    <w:rsid w:val="004D72A3"/>
    <w:rsid w:val="004D763C"/>
    <w:rsid w:val="004D7ECC"/>
    <w:rsid w:val="004E072F"/>
    <w:rsid w:val="004E28E5"/>
    <w:rsid w:val="004E37E9"/>
    <w:rsid w:val="004E4C05"/>
    <w:rsid w:val="004E5255"/>
    <w:rsid w:val="004E5869"/>
    <w:rsid w:val="004E6B61"/>
    <w:rsid w:val="004E6EAD"/>
    <w:rsid w:val="004E7436"/>
    <w:rsid w:val="004F0475"/>
    <w:rsid w:val="004F137C"/>
    <w:rsid w:val="004F391C"/>
    <w:rsid w:val="004F3D01"/>
    <w:rsid w:val="004F4F6F"/>
    <w:rsid w:val="004F5258"/>
    <w:rsid w:val="004F54D9"/>
    <w:rsid w:val="004F56CC"/>
    <w:rsid w:val="004F5A08"/>
    <w:rsid w:val="004F6D00"/>
    <w:rsid w:val="004F7038"/>
    <w:rsid w:val="004F7CDF"/>
    <w:rsid w:val="005004DC"/>
    <w:rsid w:val="00500EA7"/>
    <w:rsid w:val="00501A35"/>
    <w:rsid w:val="00501A4E"/>
    <w:rsid w:val="0050221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FB8"/>
    <w:rsid w:val="00513CB7"/>
    <w:rsid w:val="00513D87"/>
    <w:rsid w:val="00514333"/>
    <w:rsid w:val="00515B24"/>
    <w:rsid w:val="005163B6"/>
    <w:rsid w:val="00517061"/>
    <w:rsid w:val="005173A1"/>
    <w:rsid w:val="00520F96"/>
    <w:rsid w:val="005212F4"/>
    <w:rsid w:val="005220AD"/>
    <w:rsid w:val="00522EE4"/>
    <w:rsid w:val="0052355C"/>
    <w:rsid w:val="00524590"/>
    <w:rsid w:val="00524787"/>
    <w:rsid w:val="005255FE"/>
    <w:rsid w:val="00525B90"/>
    <w:rsid w:val="00526056"/>
    <w:rsid w:val="00526DC0"/>
    <w:rsid w:val="005273A6"/>
    <w:rsid w:val="00527FB3"/>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D13"/>
    <w:rsid w:val="00537034"/>
    <w:rsid w:val="00537483"/>
    <w:rsid w:val="00537FDC"/>
    <w:rsid w:val="0054002A"/>
    <w:rsid w:val="005412CA"/>
    <w:rsid w:val="00541D86"/>
    <w:rsid w:val="00541EAC"/>
    <w:rsid w:val="00542129"/>
    <w:rsid w:val="00542F11"/>
    <w:rsid w:val="00543ACE"/>
    <w:rsid w:val="00543CA9"/>
    <w:rsid w:val="00544291"/>
    <w:rsid w:val="00544F91"/>
    <w:rsid w:val="005452F8"/>
    <w:rsid w:val="0054551D"/>
    <w:rsid w:val="00546B9F"/>
    <w:rsid w:val="00546BD8"/>
    <w:rsid w:val="005509F7"/>
    <w:rsid w:val="00551BBA"/>
    <w:rsid w:val="005537D2"/>
    <w:rsid w:val="00554FD6"/>
    <w:rsid w:val="005554D5"/>
    <w:rsid w:val="0055566E"/>
    <w:rsid w:val="005558CF"/>
    <w:rsid w:val="00555DAC"/>
    <w:rsid w:val="00557419"/>
    <w:rsid w:val="00560B13"/>
    <w:rsid w:val="00560B39"/>
    <w:rsid w:val="00561812"/>
    <w:rsid w:val="0056196B"/>
    <w:rsid w:val="00561ABC"/>
    <w:rsid w:val="0056226A"/>
    <w:rsid w:val="005630CE"/>
    <w:rsid w:val="005638B2"/>
    <w:rsid w:val="0056427D"/>
    <w:rsid w:val="0056505F"/>
    <w:rsid w:val="00565774"/>
    <w:rsid w:val="0056675A"/>
    <w:rsid w:val="00567DD8"/>
    <w:rsid w:val="0057097F"/>
    <w:rsid w:val="00570CD2"/>
    <w:rsid w:val="005731D0"/>
    <w:rsid w:val="00573264"/>
    <w:rsid w:val="00573618"/>
    <w:rsid w:val="005739D6"/>
    <w:rsid w:val="005746BF"/>
    <w:rsid w:val="00575164"/>
    <w:rsid w:val="005752E5"/>
    <w:rsid w:val="005771BB"/>
    <w:rsid w:val="00580850"/>
    <w:rsid w:val="00582B73"/>
    <w:rsid w:val="00583DA8"/>
    <w:rsid w:val="00584564"/>
    <w:rsid w:val="005848F6"/>
    <w:rsid w:val="0058510A"/>
    <w:rsid w:val="005854B9"/>
    <w:rsid w:val="00586D5D"/>
    <w:rsid w:val="0058775F"/>
    <w:rsid w:val="005919E2"/>
    <w:rsid w:val="00592D98"/>
    <w:rsid w:val="005937F4"/>
    <w:rsid w:val="00593E1B"/>
    <w:rsid w:val="00594A98"/>
    <w:rsid w:val="00595915"/>
    <w:rsid w:val="00596F2A"/>
    <w:rsid w:val="005A0DEB"/>
    <w:rsid w:val="005A1A3B"/>
    <w:rsid w:val="005A1A8F"/>
    <w:rsid w:val="005A24EB"/>
    <w:rsid w:val="005A2BA9"/>
    <w:rsid w:val="005A2F8B"/>
    <w:rsid w:val="005A3550"/>
    <w:rsid w:val="005A3DED"/>
    <w:rsid w:val="005A7D8F"/>
    <w:rsid w:val="005B0413"/>
    <w:rsid w:val="005B08F7"/>
    <w:rsid w:val="005B1787"/>
    <w:rsid w:val="005B1F86"/>
    <w:rsid w:val="005B3300"/>
    <w:rsid w:val="005B3A7D"/>
    <w:rsid w:val="005B583A"/>
    <w:rsid w:val="005B6634"/>
    <w:rsid w:val="005B6798"/>
    <w:rsid w:val="005B6BC9"/>
    <w:rsid w:val="005B765E"/>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5699"/>
    <w:rsid w:val="005D5C1F"/>
    <w:rsid w:val="005D611B"/>
    <w:rsid w:val="005D7343"/>
    <w:rsid w:val="005E03D4"/>
    <w:rsid w:val="005E03E1"/>
    <w:rsid w:val="005E03E5"/>
    <w:rsid w:val="005E236A"/>
    <w:rsid w:val="005E23B5"/>
    <w:rsid w:val="005E2705"/>
    <w:rsid w:val="005E4F8F"/>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447"/>
    <w:rsid w:val="0060118D"/>
    <w:rsid w:val="00601290"/>
    <w:rsid w:val="006019FA"/>
    <w:rsid w:val="00601AE3"/>
    <w:rsid w:val="006020B4"/>
    <w:rsid w:val="006025CA"/>
    <w:rsid w:val="006026FF"/>
    <w:rsid w:val="00603E2F"/>
    <w:rsid w:val="006049CC"/>
    <w:rsid w:val="00604D4A"/>
    <w:rsid w:val="00606F3C"/>
    <w:rsid w:val="00607628"/>
    <w:rsid w:val="00610D94"/>
    <w:rsid w:val="00611E66"/>
    <w:rsid w:val="00612065"/>
    <w:rsid w:val="0061279C"/>
    <w:rsid w:val="00612AB9"/>
    <w:rsid w:val="00613C86"/>
    <w:rsid w:val="00615EE4"/>
    <w:rsid w:val="00615FF8"/>
    <w:rsid w:val="00616842"/>
    <w:rsid w:val="00616FCE"/>
    <w:rsid w:val="00620536"/>
    <w:rsid w:val="00622603"/>
    <w:rsid w:val="00622E42"/>
    <w:rsid w:val="00624D7D"/>
    <w:rsid w:val="00627E68"/>
    <w:rsid w:val="00632732"/>
    <w:rsid w:val="006334FC"/>
    <w:rsid w:val="00633A5C"/>
    <w:rsid w:val="00635CA0"/>
    <w:rsid w:val="006364D8"/>
    <w:rsid w:val="00640A34"/>
    <w:rsid w:val="006414BF"/>
    <w:rsid w:val="00641C51"/>
    <w:rsid w:val="006425B0"/>
    <w:rsid w:val="00643733"/>
    <w:rsid w:val="00646058"/>
    <w:rsid w:val="006462C5"/>
    <w:rsid w:val="006469C1"/>
    <w:rsid w:val="00646EDC"/>
    <w:rsid w:val="00650373"/>
    <w:rsid w:val="0065220B"/>
    <w:rsid w:val="00652EE9"/>
    <w:rsid w:val="00652EF4"/>
    <w:rsid w:val="00653433"/>
    <w:rsid w:val="006544D5"/>
    <w:rsid w:val="006549D5"/>
    <w:rsid w:val="00655502"/>
    <w:rsid w:val="006555EF"/>
    <w:rsid w:val="00656653"/>
    <w:rsid w:val="006576DC"/>
    <w:rsid w:val="00657F04"/>
    <w:rsid w:val="00660FCE"/>
    <w:rsid w:val="00662B03"/>
    <w:rsid w:val="0066330B"/>
    <w:rsid w:val="006638DA"/>
    <w:rsid w:val="006650B2"/>
    <w:rsid w:val="00665F20"/>
    <w:rsid w:val="00666689"/>
    <w:rsid w:val="00666D91"/>
    <w:rsid w:val="00666EA6"/>
    <w:rsid w:val="00670542"/>
    <w:rsid w:val="00670722"/>
    <w:rsid w:val="00670DA1"/>
    <w:rsid w:val="00672EC6"/>
    <w:rsid w:val="00673149"/>
    <w:rsid w:val="0067413F"/>
    <w:rsid w:val="006743B5"/>
    <w:rsid w:val="00674DFD"/>
    <w:rsid w:val="00675638"/>
    <w:rsid w:val="00677395"/>
    <w:rsid w:val="00677948"/>
    <w:rsid w:val="006813C9"/>
    <w:rsid w:val="00682246"/>
    <w:rsid w:val="00682ECA"/>
    <w:rsid w:val="00683A53"/>
    <w:rsid w:val="0068556D"/>
    <w:rsid w:val="00685FA8"/>
    <w:rsid w:val="00686902"/>
    <w:rsid w:val="00686F17"/>
    <w:rsid w:val="006873E1"/>
    <w:rsid w:val="006908AA"/>
    <w:rsid w:val="00690E81"/>
    <w:rsid w:val="0069244B"/>
    <w:rsid w:val="00693340"/>
    <w:rsid w:val="006936D4"/>
    <w:rsid w:val="0069696B"/>
    <w:rsid w:val="006972FF"/>
    <w:rsid w:val="006977D1"/>
    <w:rsid w:val="00697F4D"/>
    <w:rsid w:val="006A071A"/>
    <w:rsid w:val="006A0C47"/>
    <w:rsid w:val="006A2EF0"/>
    <w:rsid w:val="006A4C45"/>
    <w:rsid w:val="006A4FBB"/>
    <w:rsid w:val="006A52AE"/>
    <w:rsid w:val="006A65D7"/>
    <w:rsid w:val="006A6975"/>
    <w:rsid w:val="006A6B01"/>
    <w:rsid w:val="006B0F3C"/>
    <w:rsid w:val="006B1241"/>
    <w:rsid w:val="006B1C60"/>
    <w:rsid w:val="006B26DC"/>
    <w:rsid w:val="006B2AEB"/>
    <w:rsid w:val="006B3A34"/>
    <w:rsid w:val="006B4B80"/>
    <w:rsid w:val="006B56BF"/>
    <w:rsid w:val="006B5F19"/>
    <w:rsid w:val="006B64DE"/>
    <w:rsid w:val="006C0AB4"/>
    <w:rsid w:val="006C11CC"/>
    <w:rsid w:val="006C1275"/>
    <w:rsid w:val="006C2197"/>
    <w:rsid w:val="006C25D7"/>
    <w:rsid w:val="006C28F1"/>
    <w:rsid w:val="006C2A5F"/>
    <w:rsid w:val="006C3EBF"/>
    <w:rsid w:val="006C5499"/>
    <w:rsid w:val="006C54E1"/>
    <w:rsid w:val="006C5E9E"/>
    <w:rsid w:val="006C69C8"/>
    <w:rsid w:val="006C716D"/>
    <w:rsid w:val="006C7478"/>
    <w:rsid w:val="006D0330"/>
    <w:rsid w:val="006D09B6"/>
    <w:rsid w:val="006D0B49"/>
    <w:rsid w:val="006D16F1"/>
    <w:rsid w:val="006D1A76"/>
    <w:rsid w:val="006D1D26"/>
    <w:rsid w:val="006D3393"/>
    <w:rsid w:val="006D400C"/>
    <w:rsid w:val="006D43EC"/>
    <w:rsid w:val="006D4BD7"/>
    <w:rsid w:val="006D61C1"/>
    <w:rsid w:val="006D6437"/>
    <w:rsid w:val="006D6BB0"/>
    <w:rsid w:val="006D6D17"/>
    <w:rsid w:val="006D7031"/>
    <w:rsid w:val="006D761F"/>
    <w:rsid w:val="006D7829"/>
    <w:rsid w:val="006E0B83"/>
    <w:rsid w:val="006E1799"/>
    <w:rsid w:val="006E1E95"/>
    <w:rsid w:val="006E29B1"/>
    <w:rsid w:val="006E3C45"/>
    <w:rsid w:val="006E40F8"/>
    <w:rsid w:val="006E58EC"/>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111E"/>
    <w:rsid w:val="00701464"/>
    <w:rsid w:val="00701CEA"/>
    <w:rsid w:val="00702647"/>
    <w:rsid w:val="007026D6"/>
    <w:rsid w:val="00702871"/>
    <w:rsid w:val="00702CBF"/>
    <w:rsid w:val="00702EA8"/>
    <w:rsid w:val="00702EAE"/>
    <w:rsid w:val="007049E7"/>
    <w:rsid w:val="00704AC7"/>
    <w:rsid w:val="00705395"/>
    <w:rsid w:val="00705BDA"/>
    <w:rsid w:val="00706202"/>
    <w:rsid w:val="007066E2"/>
    <w:rsid w:val="00706852"/>
    <w:rsid w:val="007074AA"/>
    <w:rsid w:val="007077D4"/>
    <w:rsid w:val="00707BFC"/>
    <w:rsid w:val="00710254"/>
    <w:rsid w:val="007106AC"/>
    <w:rsid w:val="007113D6"/>
    <w:rsid w:val="007130C2"/>
    <w:rsid w:val="00713BBA"/>
    <w:rsid w:val="0071491D"/>
    <w:rsid w:val="007154A9"/>
    <w:rsid w:val="00715645"/>
    <w:rsid w:val="007159C3"/>
    <w:rsid w:val="00715C63"/>
    <w:rsid w:val="007169DA"/>
    <w:rsid w:val="007204A4"/>
    <w:rsid w:val="00720DA4"/>
    <w:rsid w:val="00721206"/>
    <w:rsid w:val="007228E1"/>
    <w:rsid w:val="007240EC"/>
    <w:rsid w:val="007243B7"/>
    <w:rsid w:val="00724497"/>
    <w:rsid w:val="00725804"/>
    <w:rsid w:val="00725A06"/>
    <w:rsid w:val="007267B2"/>
    <w:rsid w:val="00726D21"/>
    <w:rsid w:val="00726DC4"/>
    <w:rsid w:val="007276BF"/>
    <w:rsid w:val="00727A89"/>
    <w:rsid w:val="00730540"/>
    <w:rsid w:val="00731304"/>
    <w:rsid w:val="00731864"/>
    <w:rsid w:val="00732064"/>
    <w:rsid w:val="00732724"/>
    <w:rsid w:val="00732BD8"/>
    <w:rsid w:val="00732D1F"/>
    <w:rsid w:val="00732D2A"/>
    <w:rsid w:val="00733BA0"/>
    <w:rsid w:val="00733FA2"/>
    <w:rsid w:val="00734ABF"/>
    <w:rsid w:val="007354D6"/>
    <w:rsid w:val="00735D1B"/>
    <w:rsid w:val="007367A1"/>
    <w:rsid w:val="00736E22"/>
    <w:rsid w:val="007375B1"/>
    <w:rsid w:val="00737D55"/>
    <w:rsid w:val="00740AEB"/>
    <w:rsid w:val="00740CE0"/>
    <w:rsid w:val="00741472"/>
    <w:rsid w:val="00741543"/>
    <w:rsid w:val="007428CB"/>
    <w:rsid w:val="00742B63"/>
    <w:rsid w:val="007434D0"/>
    <w:rsid w:val="00743D7A"/>
    <w:rsid w:val="00744078"/>
    <w:rsid w:val="007442C3"/>
    <w:rsid w:val="007442CE"/>
    <w:rsid w:val="00745917"/>
    <w:rsid w:val="00747FC4"/>
    <w:rsid w:val="00750290"/>
    <w:rsid w:val="007506B8"/>
    <w:rsid w:val="00750AA8"/>
    <w:rsid w:val="007521FF"/>
    <w:rsid w:val="00752C1A"/>
    <w:rsid w:val="00752D74"/>
    <w:rsid w:val="00752F06"/>
    <w:rsid w:val="007557B2"/>
    <w:rsid w:val="007559B9"/>
    <w:rsid w:val="007561C2"/>
    <w:rsid w:val="00757157"/>
    <w:rsid w:val="0075734F"/>
    <w:rsid w:val="00757854"/>
    <w:rsid w:val="0076082B"/>
    <w:rsid w:val="0076104D"/>
    <w:rsid w:val="0076158E"/>
    <w:rsid w:val="0076168A"/>
    <w:rsid w:val="0076213C"/>
    <w:rsid w:val="007626AE"/>
    <w:rsid w:val="00762A92"/>
    <w:rsid w:val="00762C2C"/>
    <w:rsid w:val="007637A3"/>
    <w:rsid w:val="00766FBB"/>
    <w:rsid w:val="007703D2"/>
    <w:rsid w:val="007704D4"/>
    <w:rsid w:val="00770CC3"/>
    <w:rsid w:val="007715EE"/>
    <w:rsid w:val="007716CC"/>
    <w:rsid w:val="00771ABD"/>
    <w:rsid w:val="00771C90"/>
    <w:rsid w:val="00772202"/>
    <w:rsid w:val="007725CE"/>
    <w:rsid w:val="007737C6"/>
    <w:rsid w:val="0077406C"/>
    <w:rsid w:val="007751CA"/>
    <w:rsid w:val="007758AA"/>
    <w:rsid w:val="00775E32"/>
    <w:rsid w:val="00777583"/>
    <w:rsid w:val="00780779"/>
    <w:rsid w:val="0078143B"/>
    <w:rsid w:val="007825D0"/>
    <w:rsid w:val="00782785"/>
    <w:rsid w:val="007838EF"/>
    <w:rsid w:val="0078419E"/>
    <w:rsid w:val="00784FE6"/>
    <w:rsid w:val="007870E7"/>
    <w:rsid w:val="0078731A"/>
    <w:rsid w:val="00787804"/>
    <w:rsid w:val="00790FC0"/>
    <w:rsid w:val="00791326"/>
    <w:rsid w:val="007914EA"/>
    <w:rsid w:val="00791A2A"/>
    <w:rsid w:val="00791EB4"/>
    <w:rsid w:val="007926FA"/>
    <w:rsid w:val="00792B45"/>
    <w:rsid w:val="00792FE1"/>
    <w:rsid w:val="007939ED"/>
    <w:rsid w:val="00793E7B"/>
    <w:rsid w:val="007942B4"/>
    <w:rsid w:val="00794A7F"/>
    <w:rsid w:val="00794EDF"/>
    <w:rsid w:val="00796E90"/>
    <w:rsid w:val="00796F19"/>
    <w:rsid w:val="00797CCE"/>
    <w:rsid w:val="007A020F"/>
    <w:rsid w:val="007A0239"/>
    <w:rsid w:val="007A1A4B"/>
    <w:rsid w:val="007A2B33"/>
    <w:rsid w:val="007A3370"/>
    <w:rsid w:val="007A38DA"/>
    <w:rsid w:val="007A47A5"/>
    <w:rsid w:val="007A5D65"/>
    <w:rsid w:val="007A662D"/>
    <w:rsid w:val="007A7325"/>
    <w:rsid w:val="007B0019"/>
    <w:rsid w:val="007B00A5"/>
    <w:rsid w:val="007B3CD4"/>
    <w:rsid w:val="007B3CDF"/>
    <w:rsid w:val="007B4C80"/>
    <w:rsid w:val="007B5314"/>
    <w:rsid w:val="007B5726"/>
    <w:rsid w:val="007B6798"/>
    <w:rsid w:val="007B7593"/>
    <w:rsid w:val="007B77EE"/>
    <w:rsid w:val="007B7AD2"/>
    <w:rsid w:val="007B7CD1"/>
    <w:rsid w:val="007C1419"/>
    <w:rsid w:val="007C1BB6"/>
    <w:rsid w:val="007C347F"/>
    <w:rsid w:val="007C4840"/>
    <w:rsid w:val="007C4DC3"/>
    <w:rsid w:val="007C520E"/>
    <w:rsid w:val="007C702C"/>
    <w:rsid w:val="007C7CDD"/>
    <w:rsid w:val="007D011A"/>
    <w:rsid w:val="007D0567"/>
    <w:rsid w:val="007D0CAB"/>
    <w:rsid w:val="007D19C5"/>
    <w:rsid w:val="007D1D9E"/>
    <w:rsid w:val="007D3A46"/>
    <w:rsid w:val="007D3BB9"/>
    <w:rsid w:val="007D45C1"/>
    <w:rsid w:val="007D49E0"/>
    <w:rsid w:val="007D64FA"/>
    <w:rsid w:val="007D6CAE"/>
    <w:rsid w:val="007D6E5F"/>
    <w:rsid w:val="007D7162"/>
    <w:rsid w:val="007D747D"/>
    <w:rsid w:val="007D76A7"/>
    <w:rsid w:val="007E0084"/>
    <w:rsid w:val="007E162C"/>
    <w:rsid w:val="007E1A38"/>
    <w:rsid w:val="007E1D8F"/>
    <w:rsid w:val="007E2044"/>
    <w:rsid w:val="007E2770"/>
    <w:rsid w:val="007E2B40"/>
    <w:rsid w:val="007E3845"/>
    <w:rsid w:val="007E4A18"/>
    <w:rsid w:val="007E62AB"/>
    <w:rsid w:val="007E6B07"/>
    <w:rsid w:val="007E744D"/>
    <w:rsid w:val="007E79FC"/>
    <w:rsid w:val="007E7A43"/>
    <w:rsid w:val="007F1010"/>
    <w:rsid w:val="007F1576"/>
    <w:rsid w:val="007F190C"/>
    <w:rsid w:val="007F21DD"/>
    <w:rsid w:val="007F31BB"/>
    <w:rsid w:val="007F3623"/>
    <w:rsid w:val="007F4983"/>
    <w:rsid w:val="007F4E6D"/>
    <w:rsid w:val="007F594D"/>
    <w:rsid w:val="007F5A48"/>
    <w:rsid w:val="007F6F8D"/>
    <w:rsid w:val="007F7E5A"/>
    <w:rsid w:val="00800149"/>
    <w:rsid w:val="0080041D"/>
    <w:rsid w:val="0080095C"/>
    <w:rsid w:val="00801819"/>
    <w:rsid w:val="00801ABD"/>
    <w:rsid w:val="008032B9"/>
    <w:rsid w:val="008037E7"/>
    <w:rsid w:val="00803B60"/>
    <w:rsid w:val="00803B91"/>
    <w:rsid w:val="0080454C"/>
    <w:rsid w:val="00805645"/>
    <w:rsid w:val="008063B0"/>
    <w:rsid w:val="00806E24"/>
    <w:rsid w:val="00807119"/>
    <w:rsid w:val="00807332"/>
    <w:rsid w:val="00807A07"/>
    <w:rsid w:val="00807A2D"/>
    <w:rsid w:val="00810949"/>
    <w:rsid w:val="0081119C"/>
    <w:rsid w:val="00811C50"/>
    <w:rsid w:val="008132DB"/>
    <w:rsid w:val="0081663C"/>
    <w:rsid w:val="008172B8"/>
    <w:rsid w:val="0082068C"/>
    <w:rsid w:val="008221C7"/>
    <w:rsid w:val="008227C1"/>
    <w:rsid w:val="008241E9"/>
    <w:rsid w:val="008246A0"/>
    <w:rsid w:val="00825357"/>
    <w:rsid w:val="00825563"/>
    <w:rsid w:val="00825D59"/>
    <w:rsid w:val="00825E0D"/>
    <w:rsid w:val="008260ED"/>
    <w:rsid w:val="00826763"/>
    <w:rsid w:val="00826CC4"/>
    <w:rsid w:val="0082704E"/>
    <w:rsid w:val="008273BF"/>
    <w:rsid w:val="00827F7F"/>
    <w:rsid w:val="00833613"/>
    <w:rsid w:val="008343F8"/>
    <w:rsid w:val="00835B39"/>
    <w:rsid w:val="008403CA"/>
    <w:rsid w:val="00840C9E"/>
    <w:rsid w:val="00841AE0"/>
    <w:rsid w:val="00841DB6"/>
    <w:rsid w:val="00841E2D"/>
    <w:rsid w:val="00841ED7"/>
    <w:rsid w:val="0084204C"/>
    <w:rsid w:val="008440C6"/>
    <w:rsid w:val="00845533"/>
    <w:rsid w:val="00845F3B"/>
    <w:rsid w:val="00846BFD"/>
    <w:rsid w:val="008500E0"/>
    <w:rsid w:val="00850E84"/>
    <w:rsid w:val="00852F89"/>
    <w:rsid w:val="008530BA"/>
    <w:rsid w:val="008533B4"/>
    <w:rsid w:val="0085463E"/>
    <w:rsid w:val="00855786"/>
    <w:rsid w:val="0085579A"/>
    <w:rsid w:val="00855E68"/>
    <w:rsid w:val="0085622E"/>
    <w:rsid w:val="00856B34"/>
    <w:rsid w:val="008572B9"/>
    <w:rsid w:val="00857437"/>
    <w:rsid w:val="00857983"/>
    <w:rsid w:val="00857A74"/>
    <w:rsid w:val="0086034B"/>
    <w:rsid w:val="00860A3C"/>
    <w:rsid w:val="00861D02"/>
    <w:rsid w:val="00861EFA"/>
    <w:rsid w:val="0086348C"/>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4D"/>
    <w:rsid w:val="00882369"/>
    <w:rsid w:val="008829E0"/>
    <w:rsid w:val="00882A47"/>
    <w:rsid w:val="00882BFD"/>
    <w:rsid w:val="00883BB3"/>
    <w:rsid w:val="00883C4A"/>
    <w:rsid w:val="0088469C"/>
    <w:rsid w:val="0088508B"/>
    <w:rsid w:val="00890E34"/>
    <w:rsid w:val="008928B3"/>
    <w:rsid w:val="00892968"/>
    <w:rsid w:val="00892A41"/>
    <w:rsid w:val="00892DB0"/>
    <w:rsid w:val="00894138"/>
    <w:rsid w:val="00894145"/>
    <w:rsid w:val="008946B3"/>
    <w:rsid w:val="00894FAA"/>
    <w:rsid w:val="008969F8"/>
    <w:rsid w:val="00896FA9"/>
    <w:rsid w:val="00897098"/>
    <w:rsid w:val="00897F69"/>
    <w:rsid w:val="008A0CB5"/>
    <w:rsid w:val="008A20E4"/>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66"/>
    <w:rsid w:val="008B4A30"/>
    <w:rsid w:val="008B5244"/>
    <w:rsid w:val="008B5B3F"/>
    <w:rsid w:val="008B6A2A"/>
    <w:rsid w:val="008B7540"/>
    <w:rsid w:val="008C0C9E"/>
    <w:rsid w:val="008C0D03"/>
    <w:rsid w:val="008C1F2F"/>
    <w:rsid w:val="008C2DE0"/>
    <w:rsid w:val="008C3FA1"/>
    <w:rsid w:val="008C4B4A"/>
    <w:rsid w:val="008C61C8"/>
    <w:rsid w:val="008C749E"/>
    <w:rsid w:val="008C7CE3"/>
    <w:rsid w:val="008D0E80"/>
    <w:rsid w:val="008D221F"/>
    <w:rsid w:val="008D2694"/>
    <w:rsid w:val="008D27B4"/>
    <w:rsid w:val="008D3BD1"/>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5EC8"/>
    <w:rsid w:val="008F6636"/>
    <w:rsid w:val="00900F01"/>
    <w:rsid w:val="009018B4"/>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24D1"/>
    <w:rsid w:val="00922D9D"/>
    <w:rsid w:val="00923365"/>
    <w:rsid w:val="00923AE4"/>
    <w:rsid w:val="009251EA"/>
    <w:rsid w:val="0092651D"/>
    <w:rsid w:val="009270E0"/>
    <w:rsid w:val="00927A6D"/>
    <w:rsid w:val="009309B1"/>
    <w:rsid w:val="009318A2"/>
    <w:rsid w:val="0093227F"/>
    <w:rsid w:val="00932A71"/>
    <w:rsid w:val="00933BCC"/>
    <w:rsid w:val="00934BE1"/>
    <w:rsid w:val="0093525A"/>
    <w:rsid w:val="00936766"/>
    <w:rsid w:val="00936979"/>
    <w:rsid w:val="00940CD5"/>
    <w:rsid w:val="00941448"/>
    <w:rsid w:val="00942051"/>
    <w:rsid w:val="00942780"/>
    <w:rsid w:val="009427F0"/>
    <w:rsid w:val="009429D5"/>
    <w:rsid w:val="00944145"/>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57FBD"/>
    <w:rsid w:val="009605D7"/>
    <w:rsid w:val="00960DE8"/>
    <w:rsid w:val="00961943"/>
    <w:rsid w:val="00961D20"/>
    <w:rsid w:val="00962224"/>
    <w:rsid w:val="00962912"/>
    <w:rsid w:val="00963341"/>
    <w:rsid w:val="00963C63"/>
    <w:rsid w:val="00963DF4"/>
    <w:rsid w:val="00964790"/>
    <w:rsid w:val="00965C78"/>
    <w:rsid w:val="00965FB6"/>
    <w:rsid w:val="009663B8"/>
    <w:rsid w:val="009665B8"/>
    <w:rsid w:val="00966889"/>
    <w:rsid w:val="00967926"/>
    <w:rsid w:val="009709C0"/>
    <w:rsid w:val="00970B02"/>
    <w:rsid w:val="00970B53"/>
    <w:rsid w:val="00970BEC"/>
    <w:rsid w:val="00970E28"/>
    <w:rsid w:val="00971D6A"/>
    <w:rsid w:val="00972029"/>
    <w:rsid w:val="009721CD"/>
    <w:rsid w:val="009721F3"/>
    <w:rsid w:val="00972348"/>
    <w:rsid w:val="00975F18"/>
    <w:rsid w:val="009766A8"/>
    <w:rsid w:val="00980B3F"/>
    <w:rsid w:val="00983E3C"/>
    <w:rsid w:val="009840E4"/>
    <w:rsid w:val="00985C1D"/>
    <w:rsid w:val="009865B7"/>
    <w:rsid w:val="00986BA3"/>
    <w:rsid w:val="00986F98"/>
    <w:rsid w:val="009872F8"/>
    <w:rsid w:val="0098739F"/>
    <w:rsid w:val="00987713"/>
    <w:rsid w:val="00987867"/>
    <w:rsid w:val="009909D5"/>
    <w:rsid w:val="00990D19"/>
    <w:rsid w:val="009920A9"/>
    <w:rsid w:val="009922AC"/>
    <w:rsid w:val="00992537"/>
    <w:rsid w:val="0099377E"/>
    <w:rsid w:val="00993C70"/>
    <w:rsid w:val="0099638B"/>
    <w:rsid w:val="0099643C"/>
    <w:rsid w:val="00997E9F"/>
    <w:rsid w:val="009A0CFE"/>
    <w:rsid w:val="009A0FD0"/>
    <w:rsid w:val="009A1C75"/>
    <w:rsid w:val="009A21BA"/>
    <w:rsid w:val="009A2AD5"/>
    <w:rsid w:val="009A2F93"/>
    <w:rsid w:val="009A6E3F"/>
    <w:rsid w:val="009A7110"/>
    <w:rsid w:val="009B0DDC"/>
    <w:rsid w:val="009B1029"/>
    <w:rsid w:val="009B4358"/>
    <w:rsid w:val="009B4FBA"/>
    <w:rsid w:val="009B531D"/>
    <w:rsid w:val="009B6073"/>
    <w:rsid w:val="009B6F4D"/>
    <w:rsid w:val="009C0065"/>
    <w:rsid w:val="009C0468"/>
    <w:rsid w:val="009C0DCF"/>
    <w:rsid w:val="009C10FC"/>
    <w:rsid w:val="009C232D"/>
    <w:rsid w:val="009C35BF"/>
    <w:rsid w:val="009C393C"/>
    <w:rsid w:val="009C537B"/>
    <w:rsid w:val="009C61F4"/>
    <w:rsid w:val="009C77B3"/>
    <w:rsid w:val="009D0121"/>
    <w:rsid w:val="009D1395"/>
    <w:rsid w:val="009D17A3"/>
    <w:rsid w:val="009D20AA"/>
    <w:rsid w:val="009D3107"/>
    <w:rsid w:val="009D3544"/>
    <w:rsid w:val="009D3BB5"/>
    <w:rsid w:val="009D3C53"/>
    <w:rsid w:val="009D3E51"/>
    <w:rsid w:val="009D425A"/>
    <w:rsid w:val="009D4724"/>
    <w:rsid w:val="009D4775"/>
    <w:rsid w:val="009D4C3E"/>
    <w:rsid w:val="009D5445"/>
    <w:rsid w:val="009D6D76"/>
    <w:rsid w:val="009D79B8"/>
    <w:rsid w:val="009E0791"/>
    <w:rsid w:val="009E1D9B"/>
    <w:rsid w:val="009E1E02"/>
    <w:rsid w:val="009E2ECA"/>
    <w:rsid w:val="009E5174"/>
    <w:rsid w:val="009E6307"/>
    <w:rsid w:val="009E6B0F"/>
    <w:rsid w:val="009E75BD"/>
    <w:rsid w:val="009F02C9"/>
    <w:rsid w:val="009F03D0"/>
    <w:rsid w:val="009F0713"/>
    <w:rsid w:val="009F1084"/>
    <w:rsid w:val="009F1BE7"/>
    <w:rsid w:val="009F1BF3"/>
    <w:rsid w:val="009F29F1"/>
    <w:rsid w:val="009F2A05"/>
    <w:rsid w:val="009F2A0F"/>
    <w:rsid w:val="009F3894"/>
    <w:rsid w:val="009F46A0"/>
    <w:rsid w:val="009F4885"/>
    <w:rsid w:val="009F5300"/>
    <w:rsid w:val="009F53C5"/>
    <w:rsid w:val="009F53D8"/>
    <w:rsid w:val="009F6637"/>
    <w:rsid w:val="009F777F"/>
    <w:rsid w:val="00A00EBC"/>
    <w:rsid w:val="00A01398"/>
    <w:rsid w:val="00A020F5"/>
    <w:rsid w:val="00A03C09"/>
    <w:rsid w:val="00A043E1"/>
    <w:rsid w:val="00A057B9"/>
    <w:rsid w:val="00A07377"/>
    <w:rsid w:val="00A100B6"/>
    <w:rsid w:val="00A12A71"/>
    <w:rsid w:val="00A12D60"/>
    <w:rsid w:val="00A135F6"/>
    <w:rsid w:val="00A137A6"/>
    <w:rsid w:val="00A144E8"/>
    <w:rsid w:val="00A15064"/>
    <w:rsid w:val="00A152EA"/>
    <w:rsid w:val="00A1540C"/>
    <w:rsid w:val="00A16796"/>
    <w:rsid w:val="00A16C7F"/>
    <w:rsid w:val="00A16F47"/>
    <w:rsid w:val="00A17272"/>
    <w:rsid w:val="00A20F2D"/>
    <w:rsid w:val="00A21773"/>
    <w:rsid w:val="00A21D35"/>
    <w:rsid w:val="00A222C3"/>
    <w:rsid w:val="00A2236F"/>
    <w:rsid w:val="00A2275A"/>
    <w:rsid w:val="00A22AC5"/>
    <w:rsid w:val="00A22FF3"/>
    <w:rsid w:val="00A233EA"/>
    <w:rsid w:val="00A23A15"/>
    <w:rsid w:val="00A2460B"/>
    <w:rsid w:val="00A2465A"/>
    <w:rsid w:val="00A251B3"/>
    <w:rsid w:val="00A25A68"/>
    <w:rsid w:val="00A27038"/>
    <w:rsid w:val="00A27154"/>
    <w:rsid w:val="00A27B0D"/>
    <w:rsid w:val="00A27F38"/>
    <w:rsid w:val="00A30775"/>
    <w:rsid w:val="00A310F8"/>
    <w:rsid w:val="00A32B5E"/>
    <w:rsid w:val="00A3339F"/>
    <w:rsid w:val="00A33AD5"/>
    <w:rsid w:val="00A3420A"/>
    <w:rsid w:val="00A34535"/>
    <w:rsid w:val="00A34A3D"/>
    <w:rsid w:val="00A35F9F"/>
    <w:rsid w:val="00A363E3"/>
    <w:rsid w:val="00A364FC"/>
    <w:rsid w:val="00A36567"/>
    <w:rsid w:val="00A37C53"/>
    <w:rsid w:val="00A37F28"/>
    <w:rsid w:val="00A40579"/>
    <w:rsid w:val="00A42BFC"/>
    <w:rsid w:val="00A430BB"/>
    <w:rsid w:val="00A43AA9"/>
    <w:rsid w:val="00A43B3A"/>
    <w:rsid w:val="00A45540"/>
    <w:rsid w:val="00A46079"/>
    <w:rsid w:val="00A47B04"/>
    <w:rsid w:val="00A50244"/>
    <w:rsid w:val="00A502DC"/>
    <w:rsid w:val="00A503CC"/>
    <w:rsid w:val="00A52A2F"/>
    <w:rsid w:val="00A52E79"/>
    <w:rsid w:val="00A5311C"/>
    <w:rsid w:val="00A53915"/>
    <w:rsid w:val="00A53E36"/>
    <w:rsid w:val="00A544D7"/>
    <w:rsid w:val="00A55F69"/>
    <w:rsid w:val="00A564C4"/>
    <w:rsid w:val="00A56A4D"/>
    <w:rsid w:val="00A56B05"/>
    <w:rsid w:val="00A608A9"/>
    <w:rsid w:val="00A60A0C"/>
    <w:rsid w:val="00A611AB"/>
    <w:rsid w:val="00A64DD8"/>
    <w:rsid w:val="00A65E08"/>
    <w:rsid w:val="00A702C3"/>
    <w:rsid w:val="00A70646"/>
    <w:rsid w:val="00A70E20"/>
    <w:rsid w:val="00A71580"/>
    <w:rsid w:val="00A72D0B"/>
    <w:rsid w:val="00A74721"/>
    <w:rsid w:val="00A75B13"/>
    <w:rsid w:val="00A76C73"/>
    <w:rsid w:val="00A81398"/>
    <w:rsid w:val="00A815B8"/>
    <w:rsid w:val="00A82CDA"/>
    <w:rsid w:val="00A83160"/>
    <w:rsid w:val="00A8327C"/>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728"/>
    <w:rsid w:val="00A95CCC"/>
    <w:rsid w:val="00A97CEA"/>
    <w:rsid w:val="00AA06BF"/>
    <w:rsid w:val="00AA0E3A"/>
    <w:rsid w:val="00AA1EF5"/>
    <w:rsid w:val="00AA2795"/>
    <w:rsid w:val="00AA3670"/>
    <w:rsid w:val="00AA4913"/>
    <w:rsid w:val="00AA698A"/>
    <w:rsid w:val="00AA7087"/>
    <w:rsid w:val="00AA777E"/>
    <w:rsid w:val="00AA7E25"/>
    <w:rsid w:val="00AA7FA1"/>
    <w:rsid w:val="00AB07F2"/>
    <w:rsid w:val="00AB08EB"/>
    <w:rsid w:val="00AB17E1"/>
    <w:rsid w:val="00AB199A"/>
    <w:rsid w:val="00AB1AA3"/>
    <w:rsid w:val="00AB2BC2"/>
    <w:rsid w:val="00AB391C"/>
    <w:rsid w:val="00AB44C3"/>
    <w:rsid w:val="00AB497A"/>
    <w:rsid w:val="00AB5CB8"/>
    <w:rsid w:val="00AB676E"/>
    <w:rsid w:val="00AB7444"/>
    <w:rsid w:val="00AB7528"/>
    <w:rsid w:val="00AB7A21"/>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5592"/>
    <w:rsid w:val="00AD6709"/>
    <w:rsid w:val="00AD73B0"/>
    <w:rsid w:val="00AE009D"/>
    <w:rsid w:val="00AE1435"/>
    <w:rsid w:val="00AE2376"/>
    <w:rsid w:val="00AE2B4C"/>
    <w:rsid w:val="00AE2D38"/>
    <w:rsid w:val="00AE3441"/>
    <w:rsid w:val="00AE4206"/>
    <w:rsid w:val="00AE515C"/>
    <w:rsid w:val="00AE51B0"/>
    <w:rsid w:val="00AE65AE"/>
    <w:rsid w:val="00AE6F46"/>
    <w:rsid w:val="00AF04C8"/>
    <w:rsid w:val="00AF08A4"/>
    <w:rsid w:val="00AF0EA0"/>
    <w:rsid w:val="00AF1936"/>
    <w:rsid w:val="00AF28BF"/>
    <w:rsid w:val="00AF2B4F"/>
    <w:rsid w:val="00AF2DE6"/>
    <w:rsid w:val="00AF3283"/>
    <w:rsid w:val="00AF4CE3"/>
    <w:rsid w:val="00AF5306"/>
    <w:rsid w:val="00AF5486"/>
    <w:rsid w:val="00AF5840"/>
    <w:rsid w:val="00AF5A48"/>
    <w:rsid w:val="00AF5DEE"/>
    <w:rsid w:val="00AF608F"/>
    <w:rsid w:val="00AF6506"/>
    <w:rsid w:val="00AF7D2E"/>
    <w:rsid w:val="00B00060"/>
    <w:rsid w:val="00B00989"/>
    <w:rsid w:val="00B00E48"/>
    <w:rsid w:val="00B00EC9"/>
    <w:rsid w:val="00B01437"/>
    <w:rsid w:val="00B01531"/>
    <w:rsid w:val="00B01765"/>
    <w:rsid w:val="00B0176A"/>
    <w:rsid w:val="00B02599"/>
    <w:rsid w:val="00B02EA1"/>
    <w:rsid w:val="00B03792"/>
    <w:rsid w:val="00B0441B"/>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7759"/>
    <w:rsid w:val="00B27A07"/>
    <w:rsid w:val="00B313A8"/>
    <w:rsid w:val="00B3371F"/>
    <w:rsid w:val="00B33C62"/>
    <w:rsid w:val="00B3433D"/>
    <w:rsid w:val="00B343A7"/>
    <w:rsid w:val="00B34E78"/>
    <w:rsid w:val="00B3646E"/>
    <w:rsid w:val="00B36762"/>
    <w:rsid w:val="00B4031E"/>
    <w:rsid w:val="00B40C57"/>
    <w:rsid w:val="00B41354"/>
    <w:rsid w:val="00B41DB0"/>
    <w:rsid w:val="00B430F3"/>
    <w:rsid w:val="00B442DC"/>
    <w:rsid w:val="00B44492"/>
    <w:rsid w:val="00B44685"/>
    <w:rsid w:val="00B47296"/>
    <w:rsid w:val="00B4751A"/>
    <w:rsid w:val="00B47A91"/>
    <w:rsid w:val="00B47E2D"/>
    <w:rsid w:val="00B5021D"/>
    <w:rsid w:val="00B5024F"/>
    <w:rsid w:val="00B5074A"/>
    <w:rsid w:val="00B53BA1"/>
    <w:rsid w:val="00B53E89"/>
    <w:rsid w:val="00B55013"/>
    <w:rsid w:val="00B55C81"/>
    <w:rsid w:val="00B5697E"/>
    <w:rsid w:val="00B57210"/>
    <w:rsid w:val="00B57535"/>
    <w:rsid w:val="00B6060F"/>
    <w:rsid w:val="00B613B4"/>
    <w:rsid w:val="00B617B0"/>
    <w:rsid w:val="00B61C06"/>
    <w:rsid w:val="00B61DB5"/>
    <w:rsid w:val="00B620BD"/>
    <w:rsid w:val="00B6230E"/>
    <w:rsid w:val="00B629F7"/>
    <w:rsid w:val="00B62A64"/>
    <w:rsid w:val="00B62B80"/>
    <w:rsid w:val="00B62C9D"/>
    <w:rsid w:val="00B6340E"/>
    <w:rsid w:val="00B634BA"/>
    <w:rsid w:val="00B64BCD"/>
    <w:rsid w:val="00B64BD4"/>
    <w:rsid w:val="00B656C8"/>
    <w:rsid w:val="00B66B0B"/>
    <w:rsid w:val="00B67D1F"/>
    <w:rsid w:val="00B705AF"/>
    <w:rsid w:val="00B7112C"/>
    <w:rsid w:val="00B72A2A"/>
    <w:rsid w:val="00B73491"/>
    <w:rsid w:val="00B745A0"/>
    <w:rsid w:val="00B74893"/>
    <w:rsid w:val="00B757A9"/>
    <w:rsid w:val="00B75D23"/>
    <w:rsid w:val="00B76B66"/>
    <w:rsid w:val="00B76C14"/>
    <w:rsid w:val="00B76F3E"/>
    <w:rsid w:val="00B80352"/>
    <w:rsid w:val="00B803FC"/>
    <w:rsid w:val="00B8090B"/>
    <w:rsid w:val="00B80C5B"/>
    <w:rsid w:val="00B80EE7"/>
    <w:rsid w:val="00B81179"/>
    <w:rsid w:val="00B8259F"/>
    <w:rsid w:val="00B84189"/>
    <w:rsid w:val="00B848D7"/>
    <w:rsid w:val="00B84CA1"/>
    <w:rsid w:val="00B8502B"/>
    <w:rsid w:val="00B87079"/>
    <w:rsid w:val="00B87D72"/>
    <w:rsid w:val="00B91372"/>
    <w:rsid w:val="00B91F59"/>
    <w:rsid w:val="00B925FF"/>
    <w:rsid w:val="00B92C4A"/>
    <w:rsid w:val="00B92C94"/>
    <w:rsid w:val="00B933DE"/>
    <w:rsid w:val="00B935E1"/>
    <w:rsid w:val="00BA1F1F"/>
    <w:rsid w:val="00BA262A"/>
    <w:rsid w:val="00BA26D4"/>
    <w:rsid w:val="00BA2950"/>
    <w:rsid w:val="00BA4D14"/>
    <w:rsid w:val="00BA5797"/>
    <w:rsid w:val="00BA5842"/>
    <w:rsid w:val="00BA5B3D"/>
    <w:rsid w:val="00BA5ED0"/>
    <w:rsid w:val="00BA640C"/>
    <w:rsid w:val="00BA6912"/>
    <w:rsid w:val="00BA7043"/>
    <w:rsid w:val="00BA75EB"/>
    <w:rsid w:val="00BB1171"/>
    <w:rsid w:val="00BB15C4"/>
    <w:rsid w:val="00BB1879"/>
    <w:rsid w:val="00BB2A60"/>
    <w:rsid w:val="00BB2B1E"/>
    <w:rsid w:val="00BB2FD2"/>
    <w:rsid w:val="00BB31F4"/>
    <w:rsid w:val="00BB35C1"/>
    <w:rsid w:val="00BB36B2"/>
    <w:rsid w:val="00BB3DE3"/>
    <w:rsid w:val="00BB490D"/>
    <w:rsid w:val="00BB523F"/>
    <w:rsid w:val="00BB5A26"/>
    <w:rsid w:val="00BB5F61"/>
    <w:rsid w:val="00BB65A5"/>
    <w:rsid w:val="00BB7672"/>
    <w:rsid w:val="00BB7A17"/>
    <w:rsid w:val="00BC04BC"/>
    <w:rsid w:val="00BC0A42"/>
    <w:rsid w:val="00BC1EE1"/>
    <w:rsid w:val="00BC2322"/>
    <w:rsid w:val="00BC3978"/>
    <w:rsid w:val="00BC49A7"/>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E0527"/>
    <w:rsid w:val="00BE0E85"/>
    <w:rsid w:val="00BE19ED"/>
    <w:rsid w:val="00BE212E"/>
    <w:rsid w:val="00BE4546"/>
    <w:rsid w:val="00BE5D3D"/>
    <w:rsid w:val="00BE634A"/>
    <w:rsid w:val="00BE7A2C"/>
    <w:rsid w:val="00BF0D83"/>
    <w:rsid w:val="00BF0F99"/>
    <w:rsid w:val="00BF2361"/>
    <w:rsid w:val="00BF32A0"/>
    <w:rsid w:val="00BF3969"/>
    <w:rsid w:val="00BF3DFF"/>
    <w:rsid w:val="00BF473F"/>
    <w:rsid w:val="00BF4FD4"/>
    <w:rsid w:val="00BF50CF"/>
    <w:rsid w:val="00BF6157"/>
    <w:rsid w:val="00BF6A65"/>
    <w:rsid w:val="00BF6B9A"/>
    <w:rsid w:val="00BF6C8B"/>
    <w:rsid w:val="00BF6D13"/>
    <w:rsid w:val="00BF72E3"/>
    <w:rsid w:val="00BF77F5"/>
    <w:rsid w:val="00C00A81"/>
    <w:rsid w:val="00C00B3E"/>
    <w:rsid w:val="00C02B20"/>
    <w:rsid w:val="00C03EFE"/>
    <w:rsid w:val="00C03F94"/>
    <w:rsid w:val="00C04733"/>
    <w:rsid w:val="00C05664"/>
    <w:rsid w:val="00C058D1"/>
    <w:rsid w:val="00C05F6E"/>
    <w:rsid w:val="00C06F1E"/>
    <w:rsid w:val="00C1062A"/>
    <w:rsid w:val="00C11CF9"/>
    <w:rsid w:val="00C1225A"/>
    <w:rsid w:val="00C123AA"/>
    <w:rsid w:val="00C12560"/>
    <w:rsid w:val="00C127D0"/>
    <w:rsid w:val="00C135D1"/>
    <w:rsid w:val="00C14C9B"/>
    <w:rsid w:val="00C14D22"/>
    <w:rsid w:val="00C15907"/>
    <w:rsid w:val="00C165DB"/>
    <w:rsid w:val="00C200FA"/>
    <w:rsid w:val="00C2062E"/>
    <w:rsid w:val="00C21672"/>
    <w:rsid w:val="00C22AB1"/>
    <w:rsid w:val="00C23028"/>
    <w:rsid w:val="00C23A30"/>
    <w:rsid w:val="00C25C10"/>
    <w:rsid w:val="00C25C22"/>
    <w:rsid w:val="00C30195"/>
    <w:rsid w:val="00C30A0E"/>
    <w:rsid w:val="00C31D91"/>
    <w:rsid w:val="00C34418"/>
    <w:rsid w:val="00C354CE"/>
    <w:rsid w:val="00C357D7"/>
    <w:rsid w:val="00C35F34"/>
    <w:rsid w:val="00C36B1A"/>
    <w:rsid w:val="00C36B4C"/>
    <w:rsid w:val="00C36C24"/>
    <w:rsid w:val="00C37326"/>
    <w:rsid w:val="00C37F10"/>
    <w:rsid w:val="00C400DC"/>
    <w:rsid w:val="00C406EF"/>
    <w:rsid w:val="00C40FE3"/>
    <w:rsid w:val="00C41B4A"/>
    <w:rsid w:val="00C422BB"/>
    <w:rsid w:val="00C427E0"/>
    <w:rsid w:val="00C442D4"/>
    <w:rsid w:val="00C446DC"/>
    <w:rsid w:val="00C44A36"/>
    <w:rsid w:val="00C44BD4"/>
    <w:rsid w:val="00C44DA2"/>
    <w:rsid w:val="00C452AD"/>
    <w:rsid w:val="00C45E1E"/>
    <w:rsid w:val="00C46184"/>
    <w:rsid w:val="00C465BC"/>
    <w:rsid w:val="00C47F96"/>
    <w:rsid w:val="00C50DC8"/>
    <w:rsid w:val="00C52289"/>
    <w:rsid w:val="00C5252E"/>
    <w:rsid w:val="00C53230"/>
    <w:rsid w:val="00C550A5"/>
    <w:rsid w:val="00C55893"/>
    <w:rsid w:val="00C5698A"/>
    <w:rsid w:val="00C6028F"/>
    <w:rsid w:val="00C60B6A"/>
    <w:rsid w:val="00C60B7C"/>
    <w:rsid w:val="00C6168B"/>
    <w:rsid w:val="00C62B93"/>
    <w:rsid w:val="00C631FC"/>
    <w:rsid w:val="00C639BA"/>
    <w:rsid w:val="00C6474E"/>
    <w:rsid w:val="00C64D17"/>
    <w:rsid w:val="00C65167"/>
    <w:rsid w:val="00C658C0"/>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7145"/>
    <w:rsid w:val="00C97700"/>
    <w:rsid w:val="00C97F55"/>
    <w:rsid w:val="00CA02F7"/>
    <w:rsid w:val="00CA102C"/>
    <w:rsid w:val="00CA126C"/>
    <w:rsid w:val="00CA19C7"/>
    <w:rsid w:val="00CA2516"/>
    <w:rsid w:val="00CA264F"/>
    <w:rsid w:val="00CA266A"/>
    <w:rsid w:val="00CA2F0B"/>
    <w:rsid w:val="00CA3369"/>
    <w:rsid w:val="00CA3500"/>
    <w:rsid w:val="00CA3576"/>
    <w:rsid w:val="00CA3EE2"/>
    <w:rsid w:val="00CA54BC"/>
    <w:rsid w:val="00CA5597"/>
    <w:rsid w:val="00CA6BA9"/>
    <w:rsid w:val="00CA7D44"/>
    <w:rsid w:val="00CB05D9"/>
    <w:rsid w:val="00CB165B"/>
    <w:rsid w:val="00CB4BD9"/>
    <w:rsid w:val="00CB68CA"/>
    <w:rsid w:val="00CB6C5A"/>
    <w:rsid w:val="00CB75B5"/>
    <w:rsid w:val="00CB7E2F"/>
    <w:rsid w:val="00CC0233"/>
    <w:rsid w:val="00CC0536"/>
    <w:rsid w:val="00CC0FB9"/>
    <w:rsid w:val="00CC1028"/>
    <w:rsid w:val="00CC1958"/>
    <w:rsid w:val="00CC1F37"/>
    <w:rsid w:val="00CC3955"/>
    <w:rsid w:val="00CC3C79"/>
    <w:rsid w:val="00CC435F"/>
    <w:rsid w:val="00CC451F"/>
    <w:rsid w:val="00CC4D71"/>
    <w:rsid w:val="00CC51D1"/>
    <w:rsid w:val="00CC5370"/>
    <w:rsid w:val="00CC5ECD"/>
    <w:rsid w:val="00CC6819"/>
    <w:rsid w:val="00CD0946"/>
    <w:rsid w:val="00CD1D04"/>
    <w:rsid w:val="00CD3578"/>
    <w:rsid w:val="00CD362E"/>
    <w:rsid w:val="00CD376A"/>
    <w:rsid w:val="00CD40E1"/>
    <w:rsid w:val="00CD4CF1"/>
    <w:rsid w:val="00CD5023"/>
    <w:rsid w:val="00CD6B2B"/>
    <w:rsid w:val="00CD6CD1"/>
    <w:rsid w:val="00CD7E06"/>
    <w:rsid w:val="00CD7EF2"/>
    <w:rsid w:val="00CE034C"/>
    <w:rsid w:val="00CE06E2"/>
    <w:rsid w:val="00CE0F32"/>
    <w:rsid w:val="00CE195D"/>
    <w:rsid w:val="00CE1A11"/>
    <w:rsid w:val="00CE1C88"/>
    <w:rsid w:val="00CE262E"/>
    <w:rsid w:val="00CE275C"/>
    <w:rsid w:val="00CE4BF5"/>
    <w:rsid w:val="00CE561A"/>
    <w:rsid w:val="00CE5DF3"/>
    <w:rsid w:val="00CE616F"/>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C8C"/>
    <w:rsid w:val="00D07EC2"/>
    <w:rsid w:val="00D10C38"/>
    <w:rsid w:val="00D1249B"/>
    <w:rsid w:val="00D13311"/>
    <w:rsid w:val="00D13D0A"/>
    <w:rsid w:val="00D140C2"/>
    <w:rsid w:val="00D15834"/>
    <w:rsid w:val="00D163F5"/>
    <w:rsid w:val="00D16663"/>
    <w:rsid w:val="00D16718"/>
    <w:rsid w:val="00D16F13"/>
    <w:rsid w:val="00D2090F"/>
    <w:rsid w:val="00D2140C"/>
    <w:rsid w:val="00D22180"/>
    <w:rsid w:val="00D22AF4"/>
    <w:rsid w:val="00D22BDE"/>
    <w:rsid w:val="00D249AD"/>
    <w:rsid w:val="00D24C56"/>
    <w:rsid w:val="00D24F6A"/>
    <w:rsid w:val="00D25B18"/>
    <w:rsid w:val="00D26B14"/>
    <w:rsid w:val="00D26B4A"/>
    <w:rsid w:val="00D26BDC"/>
    <w:rsid w:val="00D26CC6"/>
    <w:rsid w:val="00D27325"/>
    <w:rsid w:val="00D277E7"/>
    <w:rsid w:val="00D3077C"/>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4A2"/>
    <w:rsid w:val="00D46A01"/>
    <w:rsid w:val="00D47AA7"/>
    <w:rsid w:val="00D47EAC"/>
    <w:rsid w:val="00D50167"/>
    <w:rsid w:val="00D505D1"/>
    <w:rsid w:val="00D50CDD"/>
    <w:rsid w:val="00D50E73"/>
    <w:rsid w:val="00D51040"/>
    <w:rsid w:val="00D5285C"/>
    <w:rsid w:val="00D53447"/>
    <w:rsid w:val="00D5586B"/>
    <w:rsid w:val="00D55A06"/>
    <w:rsid w:val="00D55A1F"/>
    <w:rsid w:val="00D62A13"/>
    <w:rsid w:val="00D62B4A"/>
    <w:rsid w:val="00D62E24"/>
    <w:rsid w:val="00D64C6A"/>
    <w:rsid w:val="00D65BC3"/>
    <w:rsid w:val="00D66011"/>
    <w:rsid w:val="00D6645F"/>
    <w:rsid w:val="00D668F8"/>
    <w:rsid w:val="00D66A47"/>
    <w:rsid w:val="00D674F7"/>
    <w:rsid w:val="00D701A2"/>
    <w:rsid w:val="00D715D5"/>
    <w:rsid w:val="00D71A66"/>
    <w:rsid w:val="00D7325A"/>
    <w:rsid w:val="00D739A9"/>
    <w:rsid w:val="00D75BAB"/>
    <w:rsid w:val="00D75CF4"/>
    <w:rsid w:val="00D760EE"/>
    <w:rsid w:val="00D764FA"/>
    <w:rsid w:val="00D76B0C"/>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FB1"/>
    <w:rsid w:val="00D95B77"/>
    <w:rsid w:val="00D96992"/>
    <w:rsid w:val="00D96AA8"/>
    <w:rsid w:val="00D9749C"/>
    <w:rsid w:val="00D97C42"/>
    <w:rsid w:val="00DA0497"/>
    <w:rsid w:val="00DA1A76"/>
    <w:rsid w:val="00DA2C9B"/>
    <w:rsid w:val="00DA30EB"/>
    <w:rsid w:val="00DA4D84"/>
    <w:rsid w:val="00DA516D"/>
    <w:rsid w:val="00DA5F8F"/>
    <w:rsid w:val="00DA6EF0"/>
    <w:rsid w:val="00DA782C"/>
    <w:rsid w:val="00DA7C91"/>
    <w:rsid w:val="00DB042D"/>
    <w:rsid w:val="00DB1C77"/>
    <w:rsid w:val="00DB2936"/>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D0236"/>
    <w:rsid w:val="00DD0318"/>
    <w:rsid w:val="00DD06CB"/>
    <w:rsid w:val="00DD10C7"/>
    <w:rsid w:val="00DD180A"/>
    <w:rsid w:val="00DD511A"/>
    <w:rsid w:val="00DD6160"/>
    <w:rsid w:val="00DD6637"/>
    <w:rsid w:val="00DD6BFA"/>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767E"/>
    <w:rsid w:val="00DE7FD4"/>
    <w:rsid w:val="00DF038C"/>
    <w:rsid w:val="00DF0D17"/>
    <w:rsid w:val="00DF1AE7"/>
    <w:rsid w:val="00DF1B4C"/>
    <w:rsid w:val="00DF2919"/>
    <w:rsid w:val="00DF2CDE"/>
    <w:rsid w:val="00DF36FF"/>
    <w:rsid w:val="00DF3C8F"/>
    <w:rsid w:val="00DF3F1F"/>
    <w:rsid w:val="00DF47AB"/>
    <w:rsid w:val="00DF5910"/>
    <w:rsid w:val="00DF646F"/>
    <w:rsid w:val="00DF68C9"/>
    <w:rsid w:val="00DF79B7"/>
    <w:rsid w:val="00DF7D10"/>
    <w:rsid w:val="00E00BFE"/>
    <w:rsid w:val="00E00E28"/>
    <w:rsid w:val="00E0185F"/>
    <w:rsid w:val="00E01D2F"/>
    <w:rsid w:val="00E02C27"/>
    <w:rsid w:val="00E02F8A"/>
    <w:rsid w:val="00E0304A"/>
    <w:rsid w:val="00E03B18"/>
    <w:rsid w:val="00E03C0C"/>
    <w:rsid w:val="00E05E4C"/>
    <w:rsid w:val="00E05F06"/>
    <w:rsid w:val="00E069A7"/>
    <w:rsid w:val="00E076CE"/>
    <w:rsid w:val="00E07EBD"/>
    <w:rsid w:val="00E10001"/>
    <w:rsid w:val="00E1081D"/>
    <w:rsid w:val="00E115D2"/>
    <w:rsid w:val="00E11CA9"/>
    <w:rsid w:val="00E122D1"/>
    <w:rsid w:val="00E12346"/>
    <w:rsid w:val="00E131D3"/>
    <w:rsid w:val="00E137FC"/>
    <w:rsid w:val="00E13A57"/>
    <w:rsid w:val="00E13BE2"/>
    <w:rsid w:val="00E14630"/>
    <w:rsid w:val="00E14681"/>
    <w:rsid w:val="00E14804"/>
    <w:rsid w:val="00E1606A"/>
    <w:rsid w:val="00E1630F"/>
    <w:rsid w:val="00E16474"/>
    <w:rsid w:val="00E17445"/>
    <w:rsid w:val="00E1779D"/>
    <w:rsid w:val="00E2032C"/>
    <w:rsid w:val="00E20E27"/>
    <w:rsid w:val="00E21354"/>
    <w:rsid w:val="00E2378D"/>
    <w:rsid w:val="00E23FEF"/>
    <w:rsid w:val="00E246CE"/>
    <w:rsid w:val="00E24EA5"/>
    <w:rsid w:val="00E25B1D"/>
    <w:rsid w:val="00E26867"/>
    <w:rsid w:val="00E26D0C"/>
    <w:rsid w:val="00E27AE6"/>
    <w:rsid w:val="00E3469E"/>
    <w:rsid w:val="00E35CDF"/>
    <w:rsid w:val="00E360D2"/>
    <w:rsid w:val="00E36D3F"/>
    <w:rsid w:val="00E40737"/>
    <w:rsid w:val="00E41AB0"/>
    <w:rsid w:val="00E41EE3"/>
    <w:rsid w:val="00E41F4D"/>
    <w:rsid w:val="00E4260A"/>
    <w:rsid w:val="00E42B7A"/>
    <w:rsid w:val="00E43452"/>
    <w:rsid w:val="00E440E8"/>
    <w:rsid w:val="00E44EEB"/>
    <w:rsid w:val="00E451BD"/>
    <w:rsid w:val="00E46A62"/>
    <w:rsid w:val="00E47919"/>
    <w:rsid w:val="00E47D88"/>
    <w:rsid w:val="00E47E5E"/>
    <w:rsid w:val="00E50480"/>
    <w:rsid w:val="00E5064A"/>
    <w:rsid w:val="00E51033"/>
    <w:rsid w:val="00E51B1A"/>
    <w:rsid w:val="00E52B9C"/>
    <w:rsid w:val="00E5379D"/>
    <w:rsid w:val="00E5566E"/>
    <w:rsid w:val="00E55765"/>
    <w:rsid w:val="00E55AFC"/>
    <w:rsid w:val="00E56040"/>
    <w:rsid w:val="00E568A1"/>
    <w:rsid w:val="00E56D71"/>
    <w:rsid w:val="00E572DF"/>
    <w:rsid w:val="00E57A2C"/>
    <w:rsid w:val="00E63807"/>
    <w:rsid w:val="00E63AAA"/>
    <w:rsid w:val="00E63E37"/>
    <w:rsid w:val="00E63FC5"/>
    <w:rsid w:val="00E64D69"/>
    <w:rsid w:val="00E65728"/>
    <w:rsid w:val="00E65E3C"/>
    <w:rsid w:val="00E66ABB"/>
    <w:rsid w:val="00E67AF0"/>
    <w:rsid w:val="00E70304"/>
    <w:rsid w:val="00E70775"/>
    <w:rsid w:val="00E714C2"/>
    <w:rsid w:val="00E723DF"/>
    <w:rsid w:val="00E72B39"/>
    <w:rsid w:val="00E73296"/>
    <w:rsid w:val="00E75180"/>
    <w:rsid w:val="00E751C4"/>
    <w:rsid w:val="00E76454"/>
    <w:rsid w:val="00E77365"/>
    <w:rsid w:val="00E77B82"/>
    <w:rsid w:val="00E803D5"/>
    <w:rsid w:val="00E80F87"/>
    <w:rsid w:val="00E814EE"/>
    <w:rsid w:val="00E83529"/>
    <w:rsid w:val="00E84D98"/>
    <w:rsid w:val="00E864F4"/>
    <w:rsid w:val="00E86F0C"/>
    <w:rsid w:val="00E87CCB"/>
    <w:rsid w:val="00E910D7"/>
    <w:rsid w:val="00E91443"/>
    <w:rsid w:val="00E91812"/>
    <w:rsid w:val="00E91E91"/>
    <w:rsid w:val="00E9406A"/>
    <w:rsid w:val="00E94225"/>
    <w:rsid w:val="00E94668"/>
    <w:rsid w:val="00E9492F"/>
    <w:rsid w:val="00E95174"/>
    <w:rsid w:val="00E95739"/>
    <w:rsid w:val="00E957B7"/>
    <w:rsid w:val="00E95FF7"/>
    <w:rsid w:val="00E96F5F"/>
    <w:rsid w:val="00E973DC"/>
    <w:rsid w:val="00EA0A7F"/>
    <w:rsid w:val="00EA0E9C"/>
    <w:rsid w:val="00EA16C1"/>
    <w:rsid w:val="00EA1E1A"/>
    <w:rsid w:val="00EA224D"/>
    <w:rsid w:val="00EA3185"/>
    <w:rsid w:val="00EA381D"/>
    <w:rsid w:val="00EA67A2"/>
    <w:rsid w:val="00EA6D65"/>
    <w:rsid w:val="00EA71A7"/>
    <w:rsid w:val="00EA7A9B"/>
    <w:rsid w:val="00EB052F"/>
    <w:rsid w:val="00EB0E28"/>
    <w:rsid w:val="00EB0FBC"/>
    <w:rsid w:val="00EB1428"/>
    <w:rsid w:val="00EB5323"/>
    <w:rsid w:val="00EB5887"/>
    <w:rsid w:val="00EB6224"/>
    <w:rsid w:val="00EB6B63"/>
    <w:rsid w:val="00EB6BAC"/>
    <w:rsid w:val="00EB7FCE"/>
    <w:rsid w:val="00EC006E"/>
    <w:rsid w:val="00EC02FD"/>
    <w:rsid w:val="00EC06D6"/>
    <w:rsid w:val="00EC0DF8"/>
    <w:rsid w:val="00EC0F5B"/>
    <w:rsid w:val="00EC3DC9"/>
    <w:rsid w:val="00EC58C2"/>
    <w:rsid w:val="00EC6F82"/>
    <w:rsid w:val="00EC7EE6"/>
    <w:rsid w:val="00ED309E"/>
    <w:rsid w:val="00ED3253"/>
    <w:rsid w:val="00ED35E1"/>
    <w:rsid w:val="00ED3F78"/>
    <w:rsid w:val="00ED5683"/>
    <w:rsid w:val="00ED6864"/>
    <w:rsid w:val="00EE09F6"/>
    <w:rsid w:val="00EE136A"/>
    <w:rsid w:val="00EE1FAA"/>
    <w:rsid w:val="00EE23A0"/>
    <w:rsid w:val="00EE3582"/>
    <w:rsid w:val="00EE49EF"/>
    <w:rsid w:val="00EE581E"/>
    <w:rsid w:val="00EE7ACA"/>
    <w:rsid w:val="00EF00D7"/>
    <w:rsid w:val="00EF029E"/>
    <w:rsid w:val="00EF1122"/>
    <w:rsid w:val="00EF19E2"/>
    <w:rsid w:val="00EF1BBD"/>
    <w:rsid w:val="00EF1CC6"/>
    <w:rsid w:val="00EF3DD4"/>
    <w:rsid w:val="00EF4671"/>
    <w:rsid w:val="00EF6B75"/>
    <w:rsid w:val="00EF6E9D"/>
    <w:rsid w:val="00F003FD"/>
    <w:rsid w:val="00F0052A"/>
    <w:rsid w:val="00F00665"/>
    <w:rsid w:val="00F00FF4"/>
    <w:rsid w:val="00F0395C"/>
    <w:rsid w:val="00F03B6E"/>
    <w:rsid w:val="00F04659"/>
    <w:rsid w:val="00F04D06"/>
    <w:rsid w:val="00F05730"/>
    <w:rsid w:val="00F06F52"/>
    <w:rsid w:val="00F11E36"/>
    <w:rsid w:val="00F12215"/>
    <w:rsid w:val="00F12578"/>
    <w:rsid w:val="00F13A81"/>
    <w:rsid w:val="00F147E0"/>
    <w:rsid w:val="00F15AF8"/>
    <w:rsid w:val="00F1601F"/>
    <w:rsid w:val="00F17234"/>
    <w:rsid w:val="00F208CB"/>
    <w:rsid w:val="00F21650"/>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9E3"/>
    <w:rsid w:val="00F33FFC"/>
    <w:rsid w:val="00F343F8"/>
    <w:rsid w:val="00F36543"/>
    <w:rsid w:val="00F36733"/>
    <w:rsid w:val="00F37440"/>
    <w:rsid w:val="00F4015F"/>
    <w:rsid w:val="00F40D7B"/>
    <w:rsid w:val="00F40F49"/>
    <w:rsid w:val="00F4102A"/>
    <w:rsid w:val="00F418CF"/>
    <w:rsid w:val="00F42354"/>
    <w:rsid w:val="00F42492"/>
    <w:rsid w:val="00F43EC0"/>
    <w:rsid w:val="00F44397"/>
    <w:rsid w:val="00F451F2"/>
    <w:rsid w:val="00F46015"/>
    <w:rsid w:val="00F468EA"/>
    <w:rsid w:val="00F50529"/>
    <w:rsid w:val="00F506B2"/>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BBE"/>
    <w:rsid w:val="00F72372"/>
    <w:rsid w:val="00F72447"/>
    <w:rsid w:val="00F7254D"/>
    <w:rsid w:val="00F72FB7"/>
    <w:rsid w:val="00F7300D"/>
    <w:rsid w:val="00F730AF"/>
    <w:rsid w:val="00F73C39"/>
    <w:rsid w:val="00F75227"/>
    <w:rsid w:val="00F753EC"/>
    <w:rsid w:val="00F757BA"/>
    <w:rsid w:val="00F76EAD"/>
    <w:rsid w:val="00F7757E"/>
    <w:rsid w:val="00F80AB9"/>
    <w:rsid w:val="00F80DB3"/>
    <w:rsid w:val="00F81BE3"/>
    <w:rsid w:val="00F81CAE"/>
    <w:rsid w:val="00F82EE7"/>
    <w:rsid w:val="00F8315E"/>
    <w:rsid w:val="00F833F5"/>
    <w:rsid w:val="00F8353E"/>
    <w:rsid w:val="00F83BF8"/>
    <w:rsid w:val="00F85306"/>
    <w:rsid w:val="00F85550"/>
    <w:rsid w:val="00F862BA"/>
    <w:rsid w:val="00F863BD"/>
    <w:rsid w:val="00F86608"/>
    <w:rsid w:val="00F86663"/>
    <w:rsid w:val="00F86E14"/>
    <w:rsid w:val="00F8767E"/>
    <w:rsid w:val="00F876C9"/>
    <w:rsid w:val="00F90DD6"/>
    <w:rsid w:val="00F91DCB"/>
    <w:rsid w:val="00F927FC"/>
    <w:rsid w:val="00F93302"/>
    <w:rsid w:val="00F93B70"/>
    <w:rsid w:val="00F9421C"/>
    <w:rsid w:val="00F95097"/>
    <w:rsid w:val="00F95327"/>
    <w:rsid w:val="00F95677"/>
    <w:rsid w:val="00F95860"/>
    <w:rsid w:val="00F95A0B"/>
    <w:rsid w:val="00F96024"/>
    <w:rsid w:val="00F96811"/>
    <w:rsid w:val="00FA0803"/>
    <w:rsid w:val="00FA0ED9"/>
    <w:rsid w:val="00FA0F07"/>
    <w:rsid w:val="00FA1FA1"/>
    <w:rsid w:val="00FA226B"/>
    <w:rsid w:val="00FA22CD"/>
    <w:rsid w:val="00FA253F"/>
    <w:rsid w:val="00FA3CA2"/>
    <w:rsid w:val="00FA465F"/>
    <w:rsid w:val="00FA4C58"/>
    <w:rsid w:val="00FA4D1C"/>
    <w:rsid w:val="00FA593D"/>
    <w:rsid w:val="00FA5DE0"/>
    <w:rsid w:val="00FA687D"/>
    <w:rsid w:val="00FA6C60"/>
    <w:rsid w:val="00FA7A71"/>
    <w:rsid w:val="00FA7D51"/>
    <w:rsid w:val="00FB013D"/>
    <w:rsid w:val="00FB030C"/>
    <w:rsid w:val="00FB065B"/>
    <w:rsid w:val="00FB07A4"/>
    <w:rsid w:val="00FB0857"/>
    <w:rsid w:val="00FB0D8D"/>
    <w:rsid w:val="00FB199E"/>
    <w:rsid w:val="00FB3880"/>
    <w:rsid w:val="00FB3A18"/>
    <w:rsid w:val="00FB4CC2"/>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001"/>
    <w:rsid w:val="00FC74A6"/>
    <w:rsid w:val="00FC785F"/>
    <w:rsid w:val="00FC78B5"/>
    <w:rsid w:val="00FD09B6"/>
    <w:rsid w:val="00FD0D2E"/>
    <w:rsid w:val="00FD1C6B"/>
    <w:rsid w:val="00FD1F35"/>
    <w:rsid w:val="00FD2782"/>
    <w:rsid w:val="00FD28A4"/>
    <w:rsid w:val="00FD4045"/>
    <w:rsid w:val="00FD45DB"/>
    <w:rsid w:val="00FD5389"/>
    <w:rsid w:val="00FD5591"/>
    <w:rsid w:val="00FD63F3"/>
    <w:rsid w:val="00FD6AB2"/>
    <w:rsid w:val="00FD7FF2"/>
    <w:rsid w:val="00FE0ACA"/>
    <w:rsid w:val="00FE1641"/>
    <w:rsid w:val="00FE2A35"/>
    <w:rsid w:val="00FE2FB0"/>
    <w:rsid w:val="00FE3854"/>
    <w:rsid w:val="00FE46D3"/>
    <w:rsid w:val="00FE6CFE"/>
    <w:rsid w:val="00FE7D45"/>
    <w:rsid w:val="00FF0063"/>
    <w:rsid w:val="00FF04A4"/>
    <w:rsid w:val="00FF0A67"/>
    <w:rsid w:val="00FF0B86"/>
    <w:rsid w:val="00FF101C"/>
    <w:rsid w:val="00FF142E"/>
    <w:rsid w:val="00FF1507"/>
    <w:rsid w:val="00FF1B7A"/>
    <w:rsid w:val="00FF1E09"/>
    <w:rsid w:val="00FF2A97"/>
    <w:rsid w:val="00FF3A6F"/>
    <w:rsid w:val="00FF4E21"/>
    <w:rsid w:val="00FF4F2D"/>
    <w:rsid w:val="00FF6121"/>
    <w:rsid w:val="00FF71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paragraph" w:customStyle="1" w:styleId="ComeBack">
    <w:name w:val="ComeBack"/>
    <w:basedOn w:val="Doc-text2"/>
    <w:next w:val="Doc-text2"/>
    <w:rsid w:val="003D16A8"/>
    <w:pPr>
      <w:numPr>
        <w:numId w:val="16"/>
      </w:numPr>
      <w:tabs>
        <w:tab w:val="clear" w:pos="1622"/>
      </w:tabs>
    </w:pPr>
  </w:style>
</w:styles>
</file>

<file path=word/webSettings.xml><?xml version="1.0" encoding="utf-8"?>
<w:webSettings xmlns:r="http://schemas.openxmlformats.org/officeDocument/2006/relationships" xmlns:w="http://schemas.openxmlformats.org/wordprocessingml/2006/main">
  <w:divs>
    <w:div w:id="162474055">
      <w:bodyDiv w:val="1"/>
      <w:marLeft w:val="0"/>
      <w:marRight w:val="0"/>
      <w:marTop w:val="0"/>
      <w:marBottom w:val="0"/>
      <w:divBdr>
        <w:top w:val="none" w:sz="0" w:space="0" w:color="auto"/>
        <w:left w:val="none" w:sz="0" w:space="0" w:color="auto"/>
        <w:bottom w:val="none" w:sz="0" w:space="0" w:color="auto"/>
        <w:right w:val="none" w:sz="0" w:space="0" w:color="auto"/>
      </w:divBdr>
    </w:div>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6B0EC-64CC-4862-B344-CA6F4084F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6836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2011-03-17T15:40:00Z</cp:lastPrinted>
  <dcterms:created xsi:type="dcterms:W3CDTF">2012-08-06T18:33:00Z</dcterms:created>
  <dcterms:modified xsi:type="dcterms:W3CDTF">2012-08-07T01:38:00Z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